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24, 2026</w:t>
      </w:r>
    </w:p>
    <w:p>
      <w:pPr>
        <w:spacing w:after="0" w:line="7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Foghorn Therapeutics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16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001-39634</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47-5271393</w:t>
      </w:r>
    </w:p>
    <w:p>
      <w:pPr>
        <w:spacing w:after="0" w:line="72" w:lineRule="exact"/>
        <w:rPr>
          <w:sz w:val="24"/>
          <w:szCs w:val="24"/>
          <w:color w:val="auto"/>
        </w:rPr>
      </w:pPr>
    </w:p>
    <w:p>
      <w:pPr>
        <w:sectPr>
          <w:pgSz w:w="11900" w:h="16838" w:orient="portrait"/>
          <w:cols w:equalWidth="0" w:num="3">
            <w:col w:w="4620" w:space="720"/>
            <w:col w:w="2960" w:space="720"/>
            <w:col w:w="2220"/>
          </w:cols>
          <w:pgMar w:left="32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381" w:lineRule="exact"/>
        <w:rPr>
          <w:sz w:val="24"/>
          <w:szCs w:val="24"/>
          <w:color w:val="auto"/>
        </w:rPr>
      </w:pPr>
    </w:p>
    <w:p>
      <w:pPr>
        <w:sectPr>
          <w:pgSz w:w="11900" w:h="16838" w:orient="portrait"/>
          <w:cols w:equalWidth="0" w:num="3">
            <w:col w:w="4600" w:space="720"/>
            <w:col w:w="2360" w:space="720"/>
            <w:col w:w="2840"/>
          </w:cols>
          <w:pgMar w:left="320" w:top="1440" w:right="3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7"/>
          <w:szCs w:val="17"/>
          <w:b w:val="1"/>
          <w:bCs w:val="1"/>
          <w:color w:val="auto"/>
        </w:rPr>
        <w:t>99 Coolidge Avenue Suite 500</w:t>
      </w:r>
    </w:p>
    <w:p>
      <w:pPr>
        <w:sectPr>
          <w:pgSz w:w="11900" w:h="16838" w:orient="portrait"/>
          <w:cols w:equalWidth="0" w:num="1">
            <w:col w:w="11240"/>
          </w:cols>
          <w:pgMar w:left="320" w:top="1440" w:right="339" w:bottom="1440" w:gutter="0" w:footer="0" w:header="0"/>
          <w:type w:val="continuous"/>
        </w:sectPr>
      </w:pPr>
    </w:p>
    <w:p>
      <w:pPr>
        <w:spacing w:after="0" w:line="7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 xml:space="preserve">Watertown, </w:t>
      </w:r>
      <w:r>
        <w:rPr>
          <w:rFonts w:ascii="Times New Roman" w:cs="Times New Roman" w:eastAsia="Times New Roman" w:hAnsi="Times New Roman"/>
          <w:sz w:val="15"/>
          <w:szCs w:val="15"/>
          <w:b w:val="1"/>
          <w:bCs w:val="1"/>
          <w:color w:val="auto"/>
        </w:rPr>
        <w:t>MA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67" w:lineRule="exact"/>
        <w:rPr>
          <w:sz w:val="24"/>
          <w:szCs w:val="24"/>
          <w:color w:val="auto"/>
        </w:rPr>
      </w:pPr>
    </w:p>
    <w:p>
      <w:pPr>
        <w:sectPr>
          <w:pgSz w:w="11900" w:h="16838" w:orient="portrait"/>
          <w:cols w:equalWidth="0" w:num="2">
            <w:col w:w="7200" w:space="720"/>
            <w:col w:w="3320"/>
          </w:cols>
          <w:pgMar w:left="320" w:top="1440"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586-3100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6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17"/>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FHTX</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208"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6849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June 24, 2026, Foghorn Therapeutics Inc. (the “Company”) held its 2026 Annual Meeting of Stockholders (the “Annual Meeting”). The following proposals were submitted to the Company’s stockholders at the Annual Meeting:</w:t>
      </w:r>
    </w:p>
    <w:p>
      <w:pPr>
        <w:spacing w:after="0" w:line="189" w:lineRule="exact"/>
        <w:rPr>
          <w:sz w:val="20"/>
          <w:szCs w:val="20"/>
          <w:color w:val="auto"/>
        </w:rPr>
      </w:pPr>
    </w:p>
    <w:p>
      <w:pPr>
        <w:ind w:left="720" w:hanging="388"/>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Douglas Cole, M.D., Balkrishan (Simba) Gill, Ph.D., and B. Lynne Parshall as Class III directors, each for a three-year term;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7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independent registered public accounting firm for the Company for the fiscal year ending December 31, 2026;</w:t>
      </w:r>
    </w:p>
    <w:p>
      <w:pPr>
        <w:spacing w:after="0" w:line="18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and</w:t>
      </w:r>
    </w:p>
    <w:p>
      <w:pPr>
        <w:spacing w:after="0" w:line="225"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the compensation of the Company's named executive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proposals are described in detail in the Company’s Proxy Statement filed with the U.S. Securities and Exchange Commission on April 30, 2026.</w:t>
      </w:r>
    </w:p>
    <w:p>
      <w:pPr>
        <w:spacing w:after="0" w:line="23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58,713,922. The number of shares of common stock present or represented by valid proxy at the Annual Meeting was 51,708,896. The final votes regarding each proposal are set forth below:</w:t>
      </w:r>
    </w:p>
    <w:p>
      <w:pPr>
        <w:spacing w:after="0" w:line="187" w:lineRule="exact"/>
        <w:rPr>
          <w:sz w:val="20"/>
          <w:szCs w:val="20"/>
          <w:color w:val="auto"/>
        </w:rPr>
      </w:pPr>
    </w:p>
    <w:p>
      <w:pPr>
        <w:ind w:left="680" w:hanging="348"/>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stockholders of the Company elected each of the following director nominees to serve until the 2029 Annual Meeting of Stockholders and until his or her successor is duly elected and qualified or until his or her earlier death, resignation or removal.</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1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Director Nominee</w:t>
            </w:r>
          </w:p>
        </w:tc>
        <w:tc>
          <w:tcPr>
            <w:tcW w:w="800" w:type="dxa"/>
            <w:vAlign w:val="bottom"/>
          </w:tcPr>
          <w:p>
            <w:pPr>
              <w:spacing w:after="0"/>
              <w:rPr>
                <w:sz w:val="18"/>
                <w:szCs w:val="18"/>
                <w:color w:val="auto"/>
              </w:rPr>
            </w:pPr>
          </w:p>
        </w:tc>
        <w:tc>
          <w:tcPr>
            <w:tcW w:w="21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0"/>
        </w:trPr>
        <w:tc>
          <w:tcPr>
            <w:tcW w:w="22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8"/>
              </w:rPr>
              <w:t>Douglas Cole, M.D.</w:t>
            </w:r>
          </w:p>
        </w:tc>
        <w:tc>
          <w:tcPr>
            <w:tcW w:w="29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8"/>
              </w:rPr>
              <w:t>35,118,798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10,987,092</w:t>
            </w:r>
          </w:p>
        </w:tc>
        <w:tc>
          <w:tcPr>
            <w:tcW w:w="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5,562</w:t>
            </w:r>
          </w:p>
        </w:tc>
        <w:tc>
          <w:tcPr>
            <w:tcW w:w="420" w:type="dxa"/>
            <w:vAlign w:val="bottom"/>
          </w:tcPr>
          <w:p>
            <w:pPr>
              <w:spacing w:after="0"/>
              <w:rPr>
                <w:sz w:val="24"/>
                <w:szCs w:val="24"/>
                <w:color w:val="auto"/>
              </w:rPr>
            </w:pPr>
          </w:p>
        </w:tc>
        <w:tc>
          <w:tcPr>
            <w:tcW w:w="17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5,597,444</w:t>
            </w:r>
          </w:p>
        </w:tc>
      </w:tr>
      <w:tr>
        <w:trPr>
          <w:trHeight w:val="270"/>
        </w:trPr>
        <w:tc>
          <w:tcPr>
            <w:tcW w:w="40" w:type="dxa"/>
            <w:vAlign w:val="bottom"/>
          </w:tcPr>
          <w:p>
            <w:pPr>
              <w:spacing w:after="0"/>
              <w:rPr>
                <w:sz w:val="23"/>
                <w:szCs w:val="23"/>
                <w:color w:val="auto"/>
              </w:rPr>
            </w:pPr>
          </w:p>
        </w:tc>
        <w:tc>
          <w:tcPr>
            <w:tcW w:w="21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Simba Gill, Ph.D.</w:t>
            </w:r>
          </w:p>
        </w:tc>
        <w:tc>
          <w:tcPr>
            <w:tcW w:w="29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8"/>
              </w:rPr>
              <w:t>45,956,872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151,145</w:t>
            </w:r>
          </w:p>
        </w:tc>
        <w:tc>
          <w:tcPr>
            <w:tcW w:w="9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3,435</w:t>
            </w:r>
          </w:p>
        </w:tc>
        <w:tc>
          <w:tcPr>
            <w:tcW w:w="420" w:type="dxa"/>
            <w:vAlign w:val="bottom"/>
          </w:tcPr>
          <w:p>
            <w:pPr>
              <w:spacing w:after="0"/>
              <w:rPr>
                <w:sz w:val="23"/>
                <w:szCs w:val="23"/>
                <w:color w:val="auto"/>
              </w:rPr>
            </w:pPr>
          </w:p>
        </w:tc>
        <w:tc>
          <w:tcPr>
            <w:tcW w:w="17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5,597,444</w:t>
            </w:r>
          </w:p>
        </w:tc>
      </w:tr>
      <w:tr>
        <w:trPr>
          <w:trHeight w:val="270"/>
        </w:trPr>
        <w:tc>
          <w:tcPr>
            <w:tcW w:w="40" w:type="dxa"/>
            <w:vAlign w:val="bottom"/>
          </w:tcPr>
          <w:p>
            <w:pPr>
              <w:spacing w:after="0"/>
              <w:rPr>
                <w:sz w:val="23"/>
                <w:szCs w:val="23"/>
                <w:color w:val="auto"/>
              </w:rPr>
            </w:pPr>
          </w:p>
        </w:tc>
        <w:tc>
          <w:tcPr>
            <w:tcW w:w="21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B. Lynne Parshall</w:t>
            </w:r>
          </w:p>
        </w:tc>
        <w:tc>
          <w:tcPr>
            <w:tcW w:w="29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8"/>
              </w:rPr>
              <w:t>44,412,258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1,695,530</w:t>
            </w:r>
          </w:p>
        </w:tc>
        <w:tc>
          <w:tcPr>
            <w:tcW w:w="9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3,664</w:t>
            </w:r>
          </w:p>
        </w:tc>
        <w:tc>
          <w:tcPr>
            <w:tcW w:w="420" w:type="dxa"/>
            <w:vAlign w:val="bottom"/>
          </w:tcPr>
          <w:p>
            <w:pPr>
              <w:spacing w:after="0"/>
              <w:rPr>
                <w:sz w:val="23"/>
                <w:szCs w:val="23"/>
                <w:color w:val="auto"/>
              </w:rPr>
            </w:pPr>
          </w:p>
        </w:tc>
        <w:tc>
          <w:tcPr>
            <w:tcW w:w="17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5,597,444</w:t>
            </w:r>
          </w:p>
        </w:tc>
      </w:tr>
    </w:tbl>
    <w:p>
      <w:pPr>
        <w:spacing w:after="0" w:line="331" w:lineRule="exact"/>
        <w:rPr>
          <w:sz w:val="20"/>
          <w:szCs w:val="20"/>
          <w:color w:val="auto"/>
        </w:rPr>
      </w:pPr>
    </w:p>
    <w:p>
      <w:pPr>
        <w:ind w:left="740" w:hanging="40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 of appointment of independent registered public accounting firm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Deloitte &amp; Touche LLP as the Company's independent public accounting firm for the fiscal year ending December 31, 2026.</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7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0"/>
        </w:trPr>
        <w:tc>
          <w:tcPr>
            <w:tcW w:w="2780" w:type="dxa"/>
            <w:vAlign w:val="bottom"/>
            <w:gridSpan w:val="3"/>
          </w:tcPr>
          <w:p>
            <w:pPr>
              <w:jc w:val="right"/>
              <w:ind w:right="1980"/>
              <w:spacing w:after="0"/>
              <w:rPr>
                <w:sz w:val="20"/>
                <w:szCs w:val="20"/>
                <w:color w:val="auto"/>
              </w:rPr>
            </w:pPr>
            <w:r>
              <w:rPr>
                <w:rFonts w:ascii="Times New Roman" w:cs="Times New Roman" w:eastAsia="Times New Roman" w:hAnsi="Times New Roman"/>
                <w:sz w:val="18"/>
                <w:szCs w:val="18"/>
                <w:color w:val="auto"/>
                <w:w w:val="96"/>
              </w:rPr>
              <w:t>51,661,238</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47,431</w:t>
            </w:r>
          </w:p>
        </w:tc>
        <w:tc>
          <w:tcPr>
            <w:tcW w:w="1560" w:type="dxa"/>
            <w:vAlign w:val="bottom"/>
          </w:tcPr>
          <w:p>
            <w:pPr>
              <w:spacing w:after="0"/>
              <w:rPr>
                <w:sz w:val="24"/>
                <w:szCs w:val="24"/>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227</w:t>
            </w:r>
          </w:p>
        </w:tc>
        <w:tc>
          <w:tcPr>
            <w:tcW w:w="500" w:type="dxa"/>
            <w:vAlign w:val="bottom"/>
          </w:tcPr>
          <w:p>
            <w:pPr>
              <w:spacing w:after="0"/>
              <w:rPr>
                <w:sz w:val="24"/>
                <w:szCs w:val="24"/>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r>
    </w:tbl>
    <w:p>
      <w:pPr>
        <w:spacing w:after="0" w:line="331" w:lineRule="exact"/>
        <w:rPr>
          <w:sz w:val="20"/>
          <w:szCs w:val="20"/>
          <w:color w:val="auto"/>
        </w:rPr>
      </w:pPr>
    </w:p>
    <w:p>
      <w:pPr>
        <w:ind w:left="780" w:hanging="448"/>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on an advisory basis, of Foghorn's named executive officers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of the Company approved, on an advisory basis, the compensation paid to the Company's named executive officers.</w:t>
      </w:r>
    </w:p>
    <w:p>
      <w:pPr>
        <w:spacing w:after="0" w:line="144"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7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0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2780" w:type="dxa"/>
            <w:vAlign w:val="bottom"/>
            <w:gridSpan w:val="3"/>
          </w:tcPr>
          <w:p>
            <w:pPr>
              <w:jc w:val="right"/>
              <w:ind w:right="1980"/>
              <w:spacing w:after="0"/>
              <w:rPr>
                <w:sz w:val="20"/>
                <w:szCs w:val="20"/>
                <w:color w:val="auto"/>
              </w:rPr>
            </w:pPr>
            <w:r>
              <w:rPr>
                <w:rFonts w:ascii="Times New Roman" w:cs="Times New Roman" w:eastAsia="Times New Roman" w:hAnsi="Times New Roman"/>
                <w:sz w:val="18"/>
                <w:szCs w:val="18"/>
                <w:color w:val="auto"/>
                <w:w w:val="96"/>
              </w:rPr>
              <w:t>45,637,005</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468,947</w:t>
            </w:r>
          </w:p>
        </w:tc>
        <w:tc>
          <w:tcPr>
            <w:tcW w:w="15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5,500</w:t>
            </w:r>
          </w:p>
        </w:tc>
        <w:tc>
          <w:tcPr>
            <w:tcW w:w="500" w:type="dxa"/>
            <w:vAlign w:val="bottom"/>
          </w:tcPr>
          <w:p>
            <w:pPr>
              <w:spacing w:after="0"/>
              <w:rPr>
                <w:sz w:val="24"/>
                <w:szCs w:val="24"/>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5,597,444</w:t>
            </w:r>
          </w:p>
        </w:tc>
      </w:tr>
    </w:tbl>
    <w:p>
      <w:pPr>
        <w:spacing w:after="0" w:line="200" w:lineRule="exact"/>
        <w:rPr>
          <w:sz w:val="20"/>
          <w:szCs w:val="20"/>
          <w:color w:val="auto"/>
        </w:rPr>
      </w:pPr>
    </w:p>
    <w:p>
      <w:pPr>
        <w:spacing w:after="0" w:line="225" w:lineRule="exact"/>
        <w:rPr>
          <w:sz w:val="20"/>
          <w:szCs w:val="20"/>
          <w:color w:val="auto"/>
        </w:rPr>
      </w:pPr>
    </w:p>
    <w:p>
      <w:pPr>
        <w:ind w:left="780" w:hanging="448"/>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on an advisory basis, of the frequency of future advisory votes on the compensation of Foghorn's named executive officers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stockholders of the Company approved, on an advisory basis, the frequency of one year for future advisory votes on executive compensation.</w:t>
      </w:r>
    </w:p>
    <w:p>
      <w:pPr>
        <w:spacing w:after="0" w:line="144"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31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04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45,574,407</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3,577</w:t>
            </w:r>
          </w:p>
        </w:tc>
        <w:tc>
          <w:tcPr>
            <w:tcW w:w="14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520,621</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12,847</w:t>
            </w:r>
          </w:p>
        </w:tc>
        <w:tc>
          <w:tcPr>
            <w:tcW w:w="42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5,597,444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51" w:lineRule="exact"/>
        <w:rPr>
          <w:sz w:val="20"/>
          <w:szCs w:val="20"/>
          <w:color w:val="auto"/>
        </w:rPr>
      </w:pPr>
    </w:p>
    <w:p>
      <w:pPr>
        <w:ind w:left="704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34290</wp:posOffset>
            </wp:positionV>
            <wp:extent cx="2314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Ryan Maynard</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2026-06-24T15:12:42Z</dcterms:created>
  <dcterms:modified xsi:type="dcterms:W3CDTF">2026-06-24T15:12:42Z</dcterms:modified>
</cp:coreProperties>
</file>