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b w:val="1"/>
          <w:bCs w:val="1"/>
          <w:color w:val="auto"/>
        </w:rPr>
        <w:t>______________________</w:t>
      </w:r>
    </w:p>
    <w:p>
      <w:pPr>
        <w:spacing w:after="0" w:line="1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_____________________</w:t>
      </w:r>
    </w:p>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06" w:lineRule="exact"/>
        <w:rPr>
          <w:sz w:val="24"/>
          <w:szCs w:val="24"/>
          <w:color w:val="auto"/>
        </w:rPr>
      </w:pPr>
    </w:p>
    <w:p>
      <w:pPr>
        <w:ind w:left="460" w:hanging="434"/>
        <w:spacing w:after="0"/>
        <w:tabs>
          <w:tab w:leader="none" w:pos="460" w:val="left"/>
        </w:tabs>
        <w:numPr>
          <w:ilvl w:val="0"/>
          <w:numId w:val="1"/>
        </w:numPr>
        <w:rPr>
          <w:rFonts w:ascii="Wingdings" w:cs="Wingdings" w:eastAsia="Wingdings" w:hAnsi="Wingdings"/>
          <w:sz w:val="29"/>
          <w:szCs w:val="29"/>
          <w:b w:val="1"/>
          <w:bCs w:val="1"/>
          <w:color w:val="auto"/>
          <w:vertAlign w:val="superscript"/>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 the quarterly period ended March 31, 2026</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07" w:lineRule="exact"/>
        <w:rPr>
          <w:sz w:val="24"/>
          <w:szCs w:val="24"/>
          <w:color w:val="auto"/>
        </w:rPr>
      </w:pPr>
    </w:p>
    <w:p>
      <w:pPr>
        <w:ind w:left="20"/>
        <w:spacing w:after="0" w:line="131" w:lineRule="exact"/>
        <w:rPr>
          <w:sz w:val="20"/>
          <w:szCs w:val="20"/>
          <w:color w:val="auto"/>
        </w:rPr>
      </w:pPr>
      <w:r>
        <w:rPr>
          <w:rFonts w:ascii="MS PGothic" w:cs="MS PGothic" w:eastAsia="MS PGothic" w:hAnsi="MS PGothic"/>
          <w:sz w:val="13"/>
          <w:szCs w:val="13"/>
          <w:color w:val="auto"/>
        </w:rPr>
        <w:t>☐</w:t>
      </w:r>
    </w:p>
    <w:p>
      <w:pPr>
        <w:spacing w:after="0" w:line="18"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13"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__________________ to __________________</w:t>
      </w:r>
    </w:p>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001-39634</w:t>
      </w:r>
    </w:p>
    <w:p>
      <w:pPr>
        <w:spacing w:after="0" w:line="29"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b w:val="1"/>
          <w:bCs w:val="1"/>
          <w:color w:val="auto"/>
        </w:rPr>
        <w:t>______________________</w:t>
      </w:r>
    </w:p>
    <w:p>
      <w:pPr>
        <w:spacing w:after="0" w:line="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Foghorn Therapeutics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b w:val="1"/>
          <w:bCs w:val="1"/>
          <w:color w:val="auto"/>
        </w:rPr>
        <w:t>______________________</w:t>
      </w:r>
    </w:p>
    <w:p>
      <w:pPr>
        <w:spacing w:after="0" w:line="146" w:lineRule="exact"/>
        <w:rPr>
          <w:sz w:val="24"/>
          <w:szCs w:val="24"/>
          <w:color w:val="auto"/>
        </w:rPr>
      </w:pPr>
    </w:p>
    <w:tbl>
      <w:tblPr>
        <w:tblLayout w:type="fixed"/>
        <w:tblInd w:w="1760" w:type="dxa"/>
        <w:tblCellMar>
          <w:top w:w="0" w:type="dxa"/>
          <w:left w:w="0" w:type="dxa"/>
          <w:bottom w:w="0" w:type="dxa"/>
          <w:right w:w="0" w:type="dxa"/>
        </w:tblCellMar>
      </w:tblPr>
      <w:tr>
        <w:trPr>
          <w:trHeight w:val="185"/>
        </w:trPr>
        <w:tc>
          <w:tcPr>
            <w:tcW w:w="4120" w:type="dxa"/>
            <w:vAlign w:val="bottom"/>
          </w:tcPr>
          <w:p>
            <w:pPr>
              <w:jc w:val="center"/>
              <w:ind w:right="1968"/>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020" w:type="dxa"/>
            <w:vAlign w:val="bottom"/>
          </w:tcPr>
          <w:p>
            <w:pPr>
              <w:jc w:val="right"/>
              <w:ind w:right="46"/>
              <w:spacing w:after="0"/>
              <w:rPr>
                <w:sz w:val="20"/>
                <w:szCs w:val="20"/>
                <w:color w:val="auto"/>
              </w:rPr>
            </w:pPr>
            <w:r>
              <w:rPr>
                <w:rFonts w:ascii="Times New Roman" w:cs="Times New Roman" w:eastAsia="Times New Roman" w:hAnsi="Times New Roman"/>
                <w:sz w:val="16"/>
                <w:szCs w:val="16"/>
                <w:b w:val="1"/>
                <w:bCs w:val="1"/>
                <w:color w:val="auto"/>
              </w:rPr>
              <w:t>47-5271393</w:t>
            </w:r>
          </w:p>
        </w:tc>
        <w:tc>
          <w:tcPr>
            <w:tcW w:w="0" w:type="dxa"/>
            <w:vAlign w:val="bottom"/>
          </w:tcPr>
          <w:p>
            <w:pPr>
              <w:spacing w:after="0"/>
              <w:rPr>
                <w:sz w:val="1"/>
                <w:szCs w:val="1"/>
                <w:color w:val="auto"/>
              </w:rPr>
            </w:pPr>
          </w:p>
        </w:tc>
      </w:tr>
      <w:tr>
        <w:trPr>
          <w:trHeight w:val="148"/>
        </w:trPr>
        <w:tc>
          <w:tcPr>
            <w:tcW w:w="4120" w:type="dxa"/>
            <w:vAlign w:val="bottom"/>
          </w:tcPr>
          <w:p>
            <w:pPr>
              <w:jc w:val="center"/>
              <w:ind w:right="1968"/>
              <w:spacing w:after="0"/>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3020" w:type="dxa"/>
            <w:vAlign w:val="bottom"/>
          </w:tcPr>
          <w:p>
            <w:pPr>
              <w:jc w:val="center"/>
              <w:ind w:left="1946"/>
              <w:spacing w:after="0"/>
              <w:rPr>
                <w:sz w:val="20"/>
                <w:szCs w:val="20"/>
                <w:color w:val="auto"/>
              </w:rPr>
            </w:pPr>
            <w:r>
              <w:rPr>
                <w:rFonts w:ascii="Times New Roman" w:cs="Times New Roman" w:eastAsia="Times New Roman" w:hAnsi="Times New Roman"/>
                <w:sz w:val="13"/>
                <w:szCs w:val="13"/>
                <w:b w:val="1"/>
                <w:bCs w:val="1"/>
                <w:color w:val="auto"/>
                <w:w w:val="97"/>
              </w:rPr>
              <w:t>(I.R.S. Employer</w:t>
            </w:r>
          </w:p>
        </w:tc>
        <w:tc>
          <w:tcPr>
            <w:tcW w:w="0" w:type="dxa"/>
            <w:vAlign w:val="bottom"/>
          </w:tcPr>
          <w:p>
            <w:pPr>
              <w:spacing w:after="0"/>
              <w:rPr>
                <w:sz w:val="1"/>
                <w:szCs w:val="1"/>
                <w:color w:val="auto"/>
              </w:rPr>
            </w:pPr>
          </w:p>
        </w:tc>
      </w:tr>
      <w:tr>
        <w:trPr>
          <w:trHeight w:val="166"/>
        </w:trPr>
        <w:tc>
          <w:tcPr>
            <w:tcW w:w="4120" w:type="dxa"/>
            <w:vAlign w:val="bottom"/>
          </w:tcPr>
          <w:p>
            <w:pPr>
              <w:jc w:val="center"/>
              <w:ind w:right="1968"/>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020" w:type="dxa"/>
            <w:vAlign w:val="bottom"/>
          </w:tcPr>
          <w:p>
            <w:pPr>
              <w:jc w:val="center"/>
              <w:ind w:left="1946"/>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c>
          <w:tcPr>
            <w:tcW w:w="0" w:type="dxa"/>
            <w:vAlign w:val="bottom"/>
          </w:tcPr>
          <w:p>
            <w:pPr>
              <w:spacing w:after="0"/>
              <w:rPr>
                <w:sz w:val="1"/>
                <w:szCs w:val="1"/>
                <w:color w:val="auto"/>
              </w:rPr>
            </w:pPr>
          </w:p>
        </w:tc>
      </w:tr>
      <w:tr>
        <w:trPr>
          <w:trHeight w:val="297"/>
        </w:trPr>
        <w:tc>
          <w:tcPr>
            <w:tcW w:w="4120" w:type="dxa"/>
            <w:vAlign w:val="bottom"/>
          </w:tcPr>
          <w:p>
            <w:pPr>
              <w:jc w:val="center"/>
              <w:ind w:right="1968"/>
              <w:spacing w:after="0"/>
              <w:rPr>
                <w:sz w:val="20"/>
                <w:szCs w:val="20"/>
                <w:color w:val="auto"/>
              </w:rPr>
            </w:pPr>
            <w:r>
              <w:rPr>
                <w:rFonts w:ascii="Times New Roman" w:cs="Times New Roman" w:eastAsia="Times New Roman" w:hAnsi="Times New Roman"/>
                <w:sz w:val="16"/>
                <w:szCs w:val="16"/>
                <w:b w:val="1"/>
                <w:bCs w:val="1"/>
                <w:color w:val="auto"/>
              </w:rPr>
              <w:t>99 Coolidge Avenue, Suite 500</w:t>
            </w:r>
          </w:p>
        </w:tc>
        <w:tc>
          <w:tcPr>
            <w:tcW w:w="3020" w:type="dxa"/>
            <w:vAlign w:val="bottom"/>
            <w:vMerge w:val="restart"/>
          </w:tcPr>
          <w:p>
            <w:pPr>
              <w:jc w:val="right"/>
              <w:ind w:right="226"/>
              <w:spacing w:after="0"/>
              <w:rPr>
                <w:sz w:val="20"/>
                <w:szCs w:val="20"/>
                <w:color w:val="auto"/>
              </w:rPr>
            </w:pPr>
            <w:r>
              <w:rPr>
                <w:rFonts w:ascii="Times New Roman" w:cs="Times New Roman" w:eastAsia="Times New Roman" w:hAnsi="Times New Roman"/>
                <w:sz w:val="16"/>
                <w:szCs w:val="16"/>
                <w:b w:val="1"/>
                <w:bCs w:val="1"/>
                <w:color w:val="auto"/>
              </w:rPr>
              <w:t>02472</w:t>
            </w:r>
          </w:p>
        </w:tc>
        <w:tc>
          <w:tcPr>
            <w:tcW w:w="0" w:type="dxa"/>
            <w:vAlign w:val="bottom"/>
          </w:tcPr>
          <w:p>
            <w:pPr>
              <w:spacing w:after="0"/>
              <w:rPr>
                <w:sz w:val="1"/>
                <w:szCs w:val="1"/>
                <w:color w:val="auto"/>
              </w:rPr>
            </w:pPr>
          </w:p>
        </w:tc>
      </w:tr>
      <w:tr>
        <w:trPr>
          <w:trHeight w:val="164"/>
        </w:trPr>
        <w:tc>
          <w:tcPr>
            <w:tcW w:w="4120" w:type="dxa"/>
            <w:vAlign w:val="bottom"/>
          </w:tcPr>
          <w:p>
            <w:pPr>
              <w:jc w:val="center"/>
              <w:ind w:right="1968"/>
              <w:spacing w:after="0" w:line="165" w:lineRule="exact"/>
              <w:rPr>
                <w:sz w:val="20"/>
                <w:szCs w:val="20"/>
                <w:color w:val="auto"/>
              </w:rPr>
            </w:pPr>
            <w:r>
              <w:rPr>
                <w:rFonts w:ascii="Times New Roman" w:cs="Times New Roman" w:eastAsia="Times New Roman" w:hAnsi="Times New Roman"/>
                <w:sz w:val="16"/>
                <w:szCs w:val="16"/>
                <w:b w:val="1"/>
                <w:bCs w:val="1"/>
                <w:color w:val="auto"/>
                <w:w w:val="99"/>
              </w:rPr>
              <w:t>Watertown, Massachusetts</w:t>
            </w:r>
          </w:p>
        </w:tc>
        <w:tc>
          <w:tcPr>
            <w:tcW w:w="3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120" w:type="dxa"/>
            <w:vAlign w:val="bottom"/>
          </w:tcPr>
          <w:p>
            <w:pPr>
              <w:jc w:val="center"/>
              <w:ind w:right="1968"/>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020" w:type="dxa"/>
            <w:vAlign w:val="bottom"/>
          </w:tcPr>
          <w:p>
            <w:pPr>
              <w:jc w:val="center"/>
              <w:ind w:left="1946"/>
              <w:spacing w:after="0"/>
              <w:rPr>
                <w:sz w:val="20"/>
                <w:szCs w:val="20"/>
                <w:color w:val="auto"/>
              </w:rPr>
            </w:pPr>
            <w:r>
              <w:rPr>
                <w:rFonts w:ascii="Times New Roman" w:cs="Times New Roman" w:eastAsia="Times New Roman" w:hAnsi="Times New Roman"/>
                <w:sz w:val="16"/>
                <w:szCs w:val="16"/>
                <w:b w:val="1"/>
                <w:bCs w:val="1"/>
                <w:color w:val="auto"/>
              </w:rPr>
              <w:t>(Zip Code)</w:t>
            </w:r>
          </w:p>
        </w:tc>
        <w:tc>
          <w:tcPr>
            <w:tcW w:w="0" w:type="dxa"/>
            <w:vAlign w:val="bottom"/>
          </w:tcPr>
          <w:p>
            <w:pPr>
              <w:spacing w:after="0"/>
              <w:rPr>
                <w:sz w:val="1"/>
                <w:szCs w:val="1"/>
                <w:color w:val="auto"/>
              </w:rPr>
            </w:pPr>
          </w:p>
        </w:tc>
      </w:tr>
    </w:tbl>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617-586-3100</w:t>
      </w:r>
    </w:p>
    <w:p>
      <w:pPr>
        <w:spacing w:after="0" w:line="28"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b w:val="1"/>
          <w:bCs w:val="1"/>
          <w:color w:val="auto"/>
        </w:rPr>
        <w:t>______________________</w:t>
      </w:r>
    </w:p>
    <w:p>
      <w:pPr>
        <w:spacing w:after="0" w:line="10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40" w:type="dxa"/>
            <w:vAlign w:val="bottom"/>
            <w:gridSpan w:val="3"/>
          </w:tcPr>
          <w:p>
            <w:pPr>
              <w:jc w:val="center"/>
              <w:ind w:right="700"/>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4500" w:type="dxa"/>
            <w:vAlign w:val="bottom"/>
          </w:tcPr>
          <w:p>
            <w:pPr>
              <w:spacing w:after="0"/>
              <w:rPr>
                <w:sz w:val="12"/>
                <w:szCs w:val="12"/>
                <w:color w:val="auto"/>
              </w:rPr>
            </w:pPr>
          </w:p>
        </w:tc>
      </w:tr>
      <w:tr>
        <w:trPr>
          <w:trHeight w:val="182"/>
        </w:trPr>
        <w:tc>
          <w:tcPr>
            <w:tcW w:w="5180" w:type="dxa"/>
            <w:vAlign w:val="bottom"/>
            <w:gridSpan w:val="3"/>
          </w:tcPr>
          <w:p>
            <w:pPr>
              <w:ind w:left="182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540" w:type="dxa"/>
            <w:vAlign w:val="bottom"/>
            <w:gridSpan w:val="3"/>
          </w:tcPr>
          <w:p>
            <w:pPr>
              <w:jc w:val="center"/>
              <w:ind w:right="680"/>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450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64"/>
        </w:trPr>
        <w:tc>
          <w:tcPr>
            <w:tcW w:w="4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Common Stock, $0.0001 par value per share</w:t>
            </w:r>
          </w:p>
        </w:tc>
        <w:tc>
          <w:tcPr>
            <w:tcW w:w="12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437"/>
              <w:spacing w:after="0"/>
              <w:rPr>
                <w:sz w:val="20"/>
                <w:szCs w:val="20"/>
                <w:color w:val="auto"/>
              </w:rPr>
            </w:pPr>
            <w:r>
              <w:rPr>
                <w:rFonts w:ascii="Times New Roman" w:cs="Times New Roman" w:eastAsia="Times New Roman" w:hAnsi="Times New Roman"/>
                <w:sz w:val="13"/>
                <w:szCs w:val="13"/>
                <w:color w:val="auto"/>
                <w:w w:val="94"/>
              </w:rPr>
              <w:t>FHTX</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500" w:type="dxa"/>
            <w:vAlign w:val="bottom"/>
            <w:tcBorders>
              <w:top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color w:val="auto"/>
                <w:w w:val="95"/>
              </w:rPr>
              <w:t>The Nasdaq Global Market</w:t>
            </w:r>
          </w:p>
        </w:tc>
      </w:tr>
      <w:tr>
        <w:trPr>
          <w:trHeight w:val="322"/>
        </w:trPr>
        <w:tc>
          <w:tcPr>
            <w:tcW w:w="11220" w:type="dxa"/>
            <w:vAlign w:val="bottom"/>
            <w:gridSpan w:val="7"/>
          </w:tcPr>
          <w:p>
            <w:pPr>
              <w:ind w:left="660"/>
              <w:spacing w:after="0"/>
              <w:rPr>
                <w:sz w:val="20"/>
                <w:szCs w:val="20"/>
                <w:color w:val="auto"/>
              </w:rPr>
            </w:pPr>
            <w:r>
              <w:rPr>
                <w:rFonts w:ascii="Times New Roman" w:cs="Times New Roman" w:eastAsia="Times New Roman" w:hAnsi="Times New Roman"/>
                <w:sz w:val="13"/>
                <w:szCs w:val="13"/>
                <w:color w:val="auto"/>
                <w:w w:val="99"/>
              </w:rPr>
              <w:t>Indicate by check mark whether the registrant (1) has filed all reports required to be filed by Section 13 or 15(d) of the Securities Exchange Act of 1934 during the preceding 12 months (or for such shorter</w:t>
            </w:r>
          </w:p>
        </w:tc>
      </w:tr>
      <w:tr>
        <w:trPr>
          <w:trHeight w:val="213"/>
        </w:trPr>
        <w:tc>
          <w:tcPr>
            <w:tcW w:w="6720" w:type="dxa"/>
            <w:vAlign w:val="bottom"/>
            <w:gridSpan w:val="6"/>
          </w:tcPr>
          <w:p>
            <w:pPr>
              <w:spacing w:after="0"/>
              <w:rPr>
                <w:sz w:val="20"/>
                <w:szCs w:val="20"/>
                <w:color w:val="auto"/>
              </w:rPr>
            </w:pPr>
            <w:r>
              <w:rPr>
                <w:rFonts w:ascii="Times New Roman" w:cs="Times New Roman" w:eastAsia="Times New Roman" w:hAnsi="Times New Roman"/>
                <w:sz w:val="13"/>
                <w:szCs w:val="13"/>
                <w:color w:val="auto"/>
                <w:w w:val="97"/>
              </w:rPr>
              <w:t>period that the registrant was required to file such reports), and (2) has been subject to such filing requirements for the past 90 days.</w:t>
            </w:r>
          </w:p>
        </w:tc>
        <w:tc>
          <w:tcPr>
            <w:tcW w:w="4500" w:type="dxa"/>
            <w:vAlign w:val="bottom"/>
          </w:tcPr>
          <w:p>
            <w:pPr>
              <w:ind w:left="80"/>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r>
      <w:tr>
        <w:trPr>
          <w:trHeight w:val="192"/>
        </w:trPr>
        <w:tc>
          <w:tcPr>
            <w:tcW w:w="11220" w:type="dxa"/>
            <w:vAlign w:val="bottom"/>
            <w:gridSpan w:val="7"/>
          </w:tcPr>
          <w:p>
            <w:pPr>
              <w:ind w:left="660"/>
              <w:spacing w:after="0"/>
              <w:rPr>
                <w:sz w:val="20"/>
                <w:szCs w:val="20"/>
                <w:color w:val="auto"/>
              </w:rPr>
            </w:pPr>
            <w:r>
              <w:rPr>
                <w:rFonts w:ascii="Times New Roman" w:cs="Times New Roman" w:eastAsia="Times New Roman" w:hAnsi="Times New Roman"/>
                <w:sz w:val="13"/>
                <w:szCs w:val="13"/>
                <w:color w:val="auto"/>
                <w:w w:val="99"/>
              </w:rPr>
              <w:t>Indicate by check mark whether the registrant has submitted electronically every Interactive Data File required to be submitted pursuant to Rule 405 of Regulation S-T (§232.405 of this chapter) during the</w:t>
            </w:r>
          </w:p>
        </w:tc>
      </w:tr>
      <w:tr>
        <w:trPr>
          <w:trHeight w:val="213"/>
        </w:trPr>
        <w:tc>
          <w:tcPr>
            <w:tcW w:w="5180" w:type="dxa"/>
            <w:vAlign w:val="bottom"/>
            <w:gridSpan w:val="3"/>
          </w:tcPr>
          <w:p>
            <w:pPr>
              <w:spacing w:after="0"/>
              <w:rPr>
                <w:sz w:val="20"/>
                <w:szCs w:val="20"/>
                <w:color w:val="auto"/>
              </w:rPr>
            </w:pPr>
            <w:r>
              <w:rPr>
                <w:rFonts w:ascii="Times New Roman" w:cs="Times New Roman" w:eastAsia="Times New Roman" w:hAnsi="Times New Roman"/>
                <w:sz w:val="13"/>
                <w:szCs w:val="13"/>
                <w:color w:val="auto"/>
                <w:w w:val="98"/>
              </w:rPr>
              <w:t>preceding 12 months (or for such shorter period that the registrant was required to submit such files).</w:t>
            </w:r>
          </w:p>
        </w:tc>
        <w:tc>
          <w:tcPr>
            <w:tcW w:w="1540" w:type="dxa"/>
            <w:vAlign w:val="bottom"/>
            <w:gridSpan w:val="3"/>
          </w:tcPr>
          <w:p>
            <w:pPr>
              <w:ind w:left="60"/>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c>
          <w:tcPr>
            <w:tcW w:w="4500" w:type="dxa"/>
            <w:vAlign w:val="bottom"/>
          </w:tcPr>
          <w:p>
            <w:pPr>
              <w:spacing w:after="0"/>
              <w:rPr>
                <w:sz w:val="18"/>
                <w:szCs w:val="18"/>
                <w:color w:val="auto"/>
              </w:rPr>
            </w:pPr>
          </w:p>
        </w:tc>
      </w:tr>
    </w:tbl>
    <w:p>
      <w:pPr>
        <w:spacing w:after="0" w:line="66" w:lineRule="exact"/>
        <w:rPr>
          <w:sz w:val="24"/>
          <w:szCs w:val="24"/>
          <w:color w:val="auto"/>
        </w:rPr>
      </w:pPr>
    </w:p>
    <w:p>
      <w:pPr>
        <w:ind w:right="160" w:firstLine="648"/>
        <w:spacing w:after="0" w:line="26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7" w:lineRule="exact"/>
        <w:rPr>
          <w:sz w:val="24"/>
          <w:szCs w:val="24"/>
          <w:color w:val="auto"/>
        </w:rPr>
      </w:pPr>
    </w:p>
    <w:tbl>
      <w:tblPr>
        <w:tblLayout w:type="fixed"/>
        <w:tblInd w:w="20" w:type="dxa"/>
        <w:tblCellMar>
          <w:top w:w="0" w:type="dxa"/>
          <w:left w:w="0" w:type="dxa"/>
          <w:bottom w:w="0" w:type="dxa"/>
          <w:right w:w="0" w:type="dxa"/>
        </w:tblCellMar>
      </w:tblPr>
      <w:tr>
        <w:trPr>
          <w:trHeight w:val="213"/>
        </w:trPr>
        <w:tc>
          <w:tcPr>
            <w:tcW w:w="180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660" w:type="dxa"/>
            <w:vAlign w:val="bottom"/>
          </w:tcPr>
          <w:p>
            <w:pPr>
              <w:ind w:left="680"/>
              <w:spacing w:after="0" w:line="131" w:lineRule="exact"/>
              <w:rPr>
                <w:sz w:val="20"/>
                <w:szCs w:val="20"/>
                <w:color w:val="auto"/>
              </w:rPr>
            </w:pPr>
            <w:r>
              <w:rPr>
                <w:rFonts w:ascii="MS PGothic" w:cs="MS PGothic" w:eastAsia="MS PGothic" w:hAnsi="MS PGothic"/>
                <w:sz w:val="13"/>
                <w:szCs w:val="13"/>
                <w:color w:val="auto"/>
              </w:rPr>
              <w:t>☐</w:t>
            </w:r>
          </w:p>
        </w:tc>
        <w:tc>
          <w:tcPr>
            <w:tcW w:w="4780" w:type="dxa"/>
            <w:vAlign w:val="bottom"/>
          </w:tcPr>
          <w:p>
            <w:pPr>
              <w:ind w:left="2840"/>
              <w:spacing w:after="0"/>
              <w:rPr>
                <w:sz w:val="20"/>
                <w:szCs w:val="20"/>
                <w:color w:val="auto"/>
              </w:rPr>
            </w:pPr>
            <w:r>
              <w:rPr>
                <w:rFonts w:ascii="Times New Roman" w:cs="Times New Roman" w:eastAsia="Times New Roman" w:hAnsi="Times New Roman"/>
                <w:sz w:val="13"/>
                <w:szCs w:val="13"/>
                <w:color w:val="auto"/>
              </w:rPr>
              <w:t>Accelerated filer</w:t>
            </w:r>
          </w:p>
        </w:tc>
        <w:tc>
          <w:tcPr>
            <w:tcW w:w="680" w:type="dxa"/>
            <w:vAlign w:val="bottom"/>
          </w:tcPr>
          <w:p>
            <w:pPr>
              <w:ind w:left="5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0"/>
        </w:trPr>
        <w:tc>
          <w:tcPr>
            <w:tcW w:w="180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660" w:type="dxa"/>
            <w:vAlign w:val="bottom"/>
          </w:tcPr>
          <w:p>
            <w:pPr>
              <w:ind w:left="680"/>
              <w:spacing w:after="0"/>
              <w:rPr>
                <w:sz w:val="20"/>
                <w:szCs w:val="20"/>
                <w:color w:val="auto"/>
              </w:rPr>
            </w:pPr>
            <w:r>
              <w:rPr>
                <w:rFonts w:ascii="Wingdings" w:cs="Wingdings" w:eastAsia="Wingdings" w:hAnsi="Wingdings"/>
                <w:sz w:val="13"/>
                <w:szCs w:val="13"/>
                <w:b w:val="1"/>
                <w:bCs w:val="1"/>
                <w:color w:val="auto"/>
              </w:rPr>
              <w:t>x</w:t>
            </w:r>
          </w:p>
        </w:tc>
        <w:tc>
          <w:tcPr>
            <w:tcW w:w="4780" w:type="dxa"/>
            <w:vAlign w:val="bottom"/>
          </w:tcPr>
          <w:p>
            <w:pPr>
              <w:ind w:left="28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80" w:type="dxa"/>
            <w:vAlign w:val="bottom"/>
          </w:tcPr>
          <w:p>
            <w:pPr>
              <w:ind w:left="560"/>
              <w:spacing w:after="0"/>
              <w:rPr>
                <w:sz w:val="20"/>
                <w:szCs w:val="20"/>
                <w:color w:val="auto"/>
              </w:rPr>
            </w:pPr>
            <w:r>
              <w:rPr>
                <w:rFonts w:ascii="Wingdings" w:cs="Wingdings" w:eastAsia="Wingdings" w:hAnsi="Wingdings"/>
                <w:sz w:val="13"/>
                <w:szCs w:val="13"/>
                <w:b w:val="1"/>
                <w:bCs w:val="1"/>
                <w:color w:val="auto"/>
                <w:w w:val="72"/>
              </w:rPr>
              <w:t>x</w:t>
            </w:r>
          </w:p>
        </w:tc>
      </w:tr>
      <w:tr>
        <w:trPr>
          <w:trHeight w:val="250"/>
        </w:trPr>
        <w:tc>
          <w:tcPr>
            <w:tcW w:w="18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4780" w:type="dxa"/>
            <w:vAlign w:val="bottom"/>
          </w:tcPr>
          <w:p>
            <w:pPr>
              <w:ind w:left="2840"/>
              <w:spacing w:after="0"/>
              <w:rPr>
                <w:sz w:val="20"/>
                <w:szCs w:val="20"/>
                <w:color w:val="auto"/>
              </w:rPr>
            </w:pPr>
            <w:r>
              <w:rPr>
                <w:rFonts w:ascii="Times New Roman" w:cs="Times New Roman" w:eastAsia="Times New Roman" w:hAnsi="Times New Roman"/>
                <w:sz w:val="13"/>
                <w:szCs w:val="13"/>
                <w:color w:val="auto"/>
              </w:rPr>
              <w:t>Emerging growth company</w:t>
            </w:r>
          </w:p>
        </w:tc>
        <w:tc>
          <w:tcPr>
            <w:tcW w:w="680" w:type="dxa"/>
            <w:vAlign w:val="bottom"/>
          </w:tcPr>
          <w:p>
            <w:pPr>
              <w:ind w:left="56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80" w:lineRule="exact"/>
        <w:rPr>
          <w:sz w:val="24"/>
          <w:szCs w:val="24"/>
          <w:color w:val="auto"/>
        </w:rPr>
      </w:pPr>
    </w:p>
    <w:p>
      <w:pPr>
        <w:jc w:val="both"/>
        <w:ind w:right="240" w:firstLine="648"/>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4" w:lineRule="exact"/>
        <w:rPr>
          <w:sz w:val="24"/>
          <w:szCs w:val="24"/>
          <w:color w:val="auto"/>
        </w:rPr>
      </w:pPr>
    </w:p>
    <w:p>
      <w:pPr>
        <w:ind w:left="660" w:right="3920"/>
        <w:spacing w:after="0" w:line="23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As of April 30, 2026, the registrant had 58,713,922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726440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96520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20" w:type="dxa"/>
            <w:vAlign w:val="bottom"/>
          </w:tcPr>
          <w:p>
            <w:pPr>
              <w:spacing w:after="0"/>
              <w:rPr>
                <w:sz w:val="16"/>
                <w:szCs w:val="16"/>
                <w:color w:val="auto"/>
              </w:rPr>
            </w:pPr>
          </w:p>
        </w:tc>
        <w:tc>
          <w:tcPr>
            <w:tcW w:w="9700" w:type="dxa"/>
            <w:vAlign w:val="bottom"/>
          </w:tcPr>
          <w:p>
            <w:pPr>
              <w:spacing w:after="0"/>
              <w:rPr>
                <w:sz w:val="16"/>
                <w:szCs w:val="16"/>
                <w:color w:val="auto"/>
              </w:rPr>
            </w:pPr>
          </w:p>
        </w:tc>
        <w:tc>
          <w:tcPr>
            <w:tcW w:w="58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7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FINANCIAL INFORMATION</w:t>
            </w: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920" w:type="dxa"/>
            <w:vAlign w:val="bottom"/>
            <w:vMerge w:val="continue"/>
          </w:tcPr>
          <w:p>
            <w:pPr>
              <w:spacing w:after="0"/>
              <w:rPr>
                <w:sz w:val="18"/>
                <w:szCs w:val="18"/>
                <w:color w:val="auto"/>
              </w:rPr>
            </w:pPr>
          </w:p>
        </w:tc>
        <w:tc>
          <w:tcPr>
            <w:tcW w:w="9700" w:type="dxa"/>
            <w:vAlign w:val="bottom"/>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9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9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Loss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9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Condensed Consolidated Statements of Stockholders’ Deficit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9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9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Controls and Procedures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INFORMATION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Proceedings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Risk Factors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Information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Exhibits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Signatures</w:t>
            </w:r>
          </w:p>
        </w:tc>
        <w:tc>
          <w:tcPr>
            <w:tcW w:w="97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8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are based on management’s beliefs and assumptions and on information currently available to management. All statements other than statements of historical facts contained in this Quarterly Report on Form 10-Q are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Forward-looking statements include, but are not limited to, statements concerning:</w:t>
      </w:r>
    </w:p>
    <w:p>
      <w:pPr>
        <w:spacing w:after="0" w:line="79" w:lineRule="exact"/>
        <w:rPr>
          <w:sz w:val="20"/>
          <w:szCs w:val="20"/>
          <w:color w:val="auto"/>
        </w:rPr>
      </w:pPr>
    </w:p>
    <w:p>
      <w:pPr>
        <w:ind w:left="980" w:right="20" w:hanging="405"/>
        <w:spacing w:after="0" w:line="282"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enrollment, results, and timing of results and regulatory filings of our research and development programs and our preclinical and clinical studies, including those included in our collaboration with Eli Lilly and Company (“Lilly”);</w:t>
      </w:r>
    </w:p>
    <w:p>
      <w:pPr>
        <w:spacing w:after="0" w:line="53" w:lineRule="exact"/>
        <w:rPr>
          <w:rFonts w:ascii="Times New Roman" w:cs="Times New Roman" w:eastAsia="Times New Roman" w:hAnsi="Times New Roman"/>
          <w:sz w:val="18"/>
          <w:szCs w:val="18"/>
          <w:color w:val="auto"/>
        </w:rPr>
      </w:pPr>
    </w:p>
    <w:p>
      <w:pPr>
        <w:ind w:left="980" w:hanging="405"/>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any product candidates that we may develop and to successfully complete preclinical and clinical studies;</w:t>
      </w:r>
    </w:p>
    <w:p>
      <w:pPr>
        <w:spacing w:after="0" w:line="88" w:lineRule="exact"/>
        <w:rPr>
          <w:rFonts w:ascii="Times New Roman" w:cs="Times New Roman" w:eastAsia="Times New Roman" w:hAnsi="Times New Roman"/>
          <w:sz w:val="18"/>
          <w:szCs w:val="18"/>
          <w:color w:val="auto"/>
        </w:rPr>
      </w:pPr>
    </w:p>
    <w:p>
      <w:pPr>
        <w:ind w:left="980" w:hanging="405"/>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our initial programs to develop additional product candidates using our Gene Traffic Control</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xml:space="preserve"> platform;</w:t>
      </w:r>
    </w:p>
    <w:p>
      <w:pPr>
        <w:spacing w:after="0" w:line="48" w:lineRule="exact"/>
        <w:rPr>
          <w:rFonts w:ascii="Times New Roman" w:cs="Times New Roman" w:eastAsia="Times New Roman" w:hAnsi="Times New Roman"/>
          <w:sz w:val="18"/>
          <w:szCs w:val="18"/>
          <w:color w:val="auto"/>
        </w:rPr>
      </w:pPr>
    </w:p>
    <w:p>
      <w:pPr>
        <w:ind w:left="980" w:hanging="405"/>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our competitors and our industry;</w:t>
      </w:r>
    </w:p>
    <w:p>
      <w:pPr>
        <w:spacing w:after="0" w:line="98" w:lineRule="exact"/>
        <w:rPr>
          <w:rFonts w:ascii="Times New Roman" w:cs="Times New Roman" w:eastAsia="Times New Roman" w:hAnsi="Times New Roman"/>
          <w:sz w:val="18"/>
          <w:szCs w:val="18"/>
          <w:color w:val="auto"/>
        </w:rPr>
      </w:pPr>
    </w:p>
    <w:p>
      <w:pPr>
        <w:ind w:left="980" w:hanging="405"/>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the target populations of our programs and the availability of patients for clinical testing;</w:t>
      </w:r>
    </w:p>
    <w:p>
      <w:pPr>
        <w:spacing w:after="0" w:line="117" w:lineRule="exact"/>
        <w:rPr>
          <w:rFonts w:ascii="Times New Roman" w:cs="Times New Roman" w:eastAsia="Times New Roman" w:hAnsi="Times New Roman"/>
          <w:sz w:val="18"/>
          <w:szCs w:val="18"/>
          <w:color w:val="auto"/>
        </w:rPr>
      </w:pPr>
    </w:p>
    <w:p>
      <w:pPr>
        <w:ind w:left="980" w:right="260" w:hanging="405"/>
        <w:spacing w:after="0" w:line="282"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for FHD-909 and any future product candidates from the U.S. Food and Drug Administration (the “FDA”) and other regulatory authorities;</w:t>
      </w:r>
    </w:p>
    <w:p>
      <w:pPr>
        <w:spacing w:after="0" w:line="53" w:lineRule="exact"/>
        <w:rPr>
          <w:rFonts w:ascii="Times New Roman" w:cs="Times New Roman" w:eastAsia="Times New Roman" w:hAnsi="Times New Roman"/>
          <w:sz w:val="18"/>
          <w:szCs w:val="18"/>
          <w:color w:val="auto"/>
        </w:rPr>
      </w:pPr>
    </w:p>
    <w:p>
      <w:pPr>
        <w:ind w:left="980" w:hanging="405"/>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enter into future license agreements and collaborations;</w:t>
      </w:r>
    </w:p>
    <w:p>
      <w:pPr>
        <w:spacing w:after="0" w:line="117" w:lineRule="exact"/>
        <w:rPr>
          <w:rFonts w:ascii="Times New Roman" w:cs="Times New Roman" w:eastAsia="Times New Roman" w:hAnsi="Times New Roman"/>
          <w:sz w:val="18"/>
          <w:szCs w:val="18"/>
          <w:color w:val="auto"/>
        </w:rPr>
      </w:pPr>
    </w:p>
    <w:p>
      <w:pPr>
        <w:ind w:left="980" w:right="200" w:hanging="405"/>
        <w:spacing w:after="0" w:line="312" w:lineRule="auto"/>
        <w:tabs>
          <w:tab w:leader="none" w:pos="97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continue to rely on our contract development and manufacturing organizations (“CDMOs”) or contract research organizations (“CROs”), including those located outside the United States, such as those located in China, for our manufacturing and research needs;</w:t>
      </w:r>
    </w:p>
    <w:p>
      <w:pPr>
        <w:spacing w:after="0" w:line="31" w:lineRule="exact"/>
        <w:rPr>
          <w:rFonts w:ascii="Times New Roman" w:cs="Times New Roman" w:eastAsia="Times New Roman" w:hAnsi="Times New Roman"/>
          <w:sz w:val="17"/>
          <w:szCs w:val="17"/>
          <w:color w:val="auto"/>
        </w:rPr>
      </w:pPr>
    </w:p>
    <w:p>
      <w:pPr>
        <w:ind w:left="980" w:right="620" w:hanging="405"/>
        <w:spacing w:after="0" w:line="282"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and regulatory developments in the United States and foreign countries, especially in China, including China’s Anti-Foreign Sanctions Law and its implementing regulations;</w:t>
      </w:r>
    </w:p>
    <w:p>
      <w:pPr>
        <w:spacing w:after="0" w:line="53" w:lineRule="exact"/>
        <w:rPr>
          <w:rFonts w:ascii="Times New Roman" w:cs="Times New Roman" w:eastAsia="Times New Roman" w:hAnsi="Times New Roman"/>
          <w:sz w:val="18"/>
          <w:szCs w:val="18"/>
          <w:color w:val="auto"/>
        </w:rPr>
      </w:pPr>
    </w:p>
    <w:p>
      <w:pPr>
        <w:ind w:left="980" w:hanging="405"/>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recessionary conditions, interest rates, monetary fluctuations and supply chain constraints;</w:t>
      </w:r>
    </w:p>
    <w:p>
      <w:pPr>
        <w:spacing w:after="0" w:line="117" w:lineRule="exact"/>
        <w:rPr>
          <w:rFonts w:ascii="Times New Roman" w:cs="Times New Roman" w:eastAsia="Times New Roman" w:hAnsi="Times New Roman"/>
          <w:sz w:val="18"/>
          <w:szCs w:val="18"/>
          <w:color w:val="auto"/>
        </w:rPr>
      </w:pPr>
    </w:p>
    <w:p>
      <w:pPr>
        <w:ind w:left="980" w:hanging="405"/>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and potential geopolitical instability and armed conflicts;</w:t>
      </w:r>
    </w:p>
    <w:p>
      <w:pPr>
        <w:spacing w:after="0" w:line="117" w:lineRule="exact"/>
        <w:rPr>
          <w:rFonts w:ascii="Times New Roman" w:cs="Times New Roman" w:eastAsia="Times New Roman" w:hAnsi="Times New Roman"/>
          <w:sz w:val="18"/>
          <w:szCs w:val="18"/>
          <w:color w:val="auto"/>
        </w:rPr>
      </w:pPr>
    </w:p>
    <w:p>
      <w:pPr>
        <w:ind w:left="980" w:hanging="405"/>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and management personnel; and</w:t>
      </w:r>
    </w:p>
    <w:p>
      <w:pPr>
        <w:spacing w:after="0" w:line="117" w:lineRule="exact"/>
        <w:rPr>
          <w:rFonts w:ascii="Times New Roman" w:cs="Times New Roman" w:eastAsia="Times New Roman" w:hAnsi="Times New Roman"/>
          <w:sz w:val="18"/>
          <w:szCs w:val="18"/>
          <w:color w:val="auto"/>
        </w:rPr>
      </w:pPr>
    </w:p>
    <w:p>
      <w:pPr>
        <w:ind w:left="980" w:right="160" w:hanging="405"/>
        <w:spacing w:after="0" w:line="282"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maintain and enforce for intellectual property rights covering our current and future product candidates, and our Gene Traffic Control platform.</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forward-looking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and assumptions, including those described under the section entitled “Risk Factors” in our Annual Report on Form 10-K for the fiscal year ended December 31, 2025. Because forward-looking statements are inherently subject to risks and uncertainties, some of which cannot be predicted or quantified and some of which are beyond our control, you should not rely on these forward-looking statements as predictions of future events. Moreover, we operate in an evolving environment. New risks and uncertainties may emerge from time to time, and it is not possible for management to predict all risks and uncertainties.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Foghorn Therapeutics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80,876</w:t>
            </w:r>
          </w:p>
        </w:tc>
      </w:tr>
      <w:tr>
        <w:trPr>
          <w:trHeight w:val="22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78,018</w:t>
            </w: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9"/>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w:t>
            </w:r>
          </w:p>
        </w:tc>
      </w:tr>
      <w:tr>
        <w:trPr>
          <w:trHeight w:val="223"/>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163,235</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30,949</w:t>
            </w:r>
          </w:p>
        </w:tc>
      </w:tr>
      <w:tr>
        <w:trPr>
          <w:trHeight w:val="223"/>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222,167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198,103</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6"/>
        </w:trPr>
        <w:tc>
          <w:tcPr>
            <w:tcW w:w="8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w:t>
            </w:r>
          </w:p>
        </w:tc>
      </w:tr>
      <w:tr>
        <w:trPr>
          <w:trHeight w:val="230"/>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11,357</w:t>
            </w: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r>
      <w:tr>
        <w:trPr>
          <w:trHeight w:val="230"/>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52,300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43,192</w:t>
            </w:r>
          </w:p>
        </w:tc>
      </w:tr>
      <w:tr>
        <w:trPr>
          <w:trHeight w:val="223"/>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59,738</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40,347</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205,962</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23"/>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306,603</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75"/>
        </w:trPr>
        <w:tc>
          <w:tcPr>
            <w:tcW w:w="824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Preferred stock, $0.0001 par value; 25,000,000 shares authorized at March 31, 2026 and December 31, 2025;</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 shares issued and outstanding at March 31, 2026 and December 31, 2025</w:t>
            </w:r>
          </w:p>
        </w:tc>
        <w:tc>
          <w:tcPr>
            <w:tcW w:w="2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24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Common stock, $0.0001 par value; 175,000,000 shares authorized at March 31, 2026 and December 31,</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84"/>
        </w:trPr>
        <w:tc>
          <w:tcPr>
            <w:tcW w:w="8240" w:type="dxa"/>
            <w:vAlign w:val="bottom"/>
            <w:shd w:val="clear" w:color="auto" w:fill="CCEEFF"/>
          </w:tcPr>
          <w:p>
            <w:pPr>
              <w:ind w:left="500"/>
              <w:spacing w:after="0" w:line="184" w:lineRule="exact"/>
              <w:rPr>
                <w:sz w:val="20"/>
                <w:szCs w:val="20"/>
                <w:color w:val="auto"/>
              </w:rPr>
            </w:pPr>
            <w:r>
              <w:rPr>
                <w:rFonts w:ascii="Times New Roman" w:cs="Times New Roman" w:eastAsia="Times New Roman" w:hAnsi="Times New Roman"/>
                <w:sz w:val="18"/>
                <w:szCs w:val="18"/>
                <w:color w:val="auto"/>
              </w:rPr>
              <w:t>2025; 58,710,490 shares issued and outstanding at March 31, 2026 and 56,657,329 shares issued and</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34"/>
        </w:trPr>
        <w:tc>
          <w:tcPr>
            <w:tcW w:w="82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576,061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523,937</w:t>
            </w: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gain (loss)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(652,342)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(632,467)</w:t>
            </w:r>
          </w:p>
        </w:tc>
      </w:tr>
      <w:tr>
        <w:trPr>
          <w:trHeight w:val="248"/>
        </w:trPr>
        <w:tc>
          <w:tcPr>
            <w:tcW w:w="82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(108,500)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40" w:type="dxa"/>
            <w:vAlign w:val="bottom"/>
          </w:tcPr>
          <w:p>
            <w:pPr>
              <w:ind w:left="660"/>
              <w:spacing w:after="0" w:line="203" w:lineRule="exact"/>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222,167</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198,103</w:t>
            </w:r>
          </w:p>
        </w:tc>
      </w:tr>
      <w:tr>
        <w:trPr>
          <w:trHeight w:val="21"/>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Foghorn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0" w:type="dxa"/>
            <w:vAlign w:val="bottom"/>
          </w:tcPr>
          <w:p>
            <w:pPr>
              <w:spacing w:after="0"/>
              <w:rPr>
                <w:sz w:val="1"/>
                <w:szCs w:val="1"/>
                <w:color w:val="auto"/>
              </w:rPr>
            </w:pPr>
          </w:p>
        </w:tc>
      </w:tr>
      <w:tr>
        <w:trPr>
          <w:trHeight w:val="20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21,626</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7,239</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28,865</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other income, net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loss per share attributable to common stockholders—basic and diluted</w:t>
            </w: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outstanding—basic and diluted</w:t>
            </w: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69,540,075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62,848,673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(18,834)</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losses on marketable securities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Foghorn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40" w:type="dxa"/>
            <w:vAlign w:val="bottom"/>
            <w:gridSpan w:val="8"/>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3"/>
                <w:szCs w:val="13"/>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3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4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gridSpan w:val="8"/>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restart"/>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9"/>
                <w:szCs w:val="9"/>
                <w:color w:val="auto"/>
              </w:rPr>
            </w:pPr>
          </w:p>
        </w:tc>
        <w:tc>
          <w:tcPr>
            <w:tcW w:w="1240" w:type="dxa"/>
            <w:vAlign w:val="bottom"/>
            <w:gridSpan w:val="3"/>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9"/>
                <w:szCs w:val="9"/>
                <w:color w:val="auto"/>
              </w:rPr>
            </w:pPr>
          </w:p>
        </w:tc>
        <w:tc>
          <w:tcPr>
            <w:tcW w:w="1160" w:type="dxa"/>
            <w:vAlign w:val="bottom"/>
            <w:gridSpan w:val="4"/>
            <w:vMerge w:val="restart"/>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9"/>
                <w:szCs w:val="9"/>
                <w:color w:val="auto"/>
              </w:rPr>
            </w:pPr>
          </w:p>
        </w:tc>
        <w:tc>
          <w:tcPr>
            <w:tcW w:w="1120" w:type="dxa"/>
            <w:vAlign w:val="bottom"/>
            <w:gridSpan w:val="3"/>
            <w:vMerge w:val="restart"/>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gridSpan w:val="4"/>
            <w:vMerge w:val="continue"/>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29"/>
        </w:trPr>
        <w:tc>
          <w:tcPr>
            <w:tcW w:w="424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2025</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56,657,329</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523,937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center"/>
              <w:ind w:left="714"/>
              <w:spacing w:after="0"/>
              <w:rPr>
                <w:sz w:val="20"/>
                <w:szCs w:val="20"/>
                <w:color w:val="auto"/>
              </w:rPr>
            </w:pPr>
            <w:r>
              <w:rPr>
                <w:rFonts w:ascii="Times New Roman" w:cs="Times New Roman" w:eastAsia="Times New Roman" w:hAnsi="Times New Roman"/>
                <w:sz w:val="18"/>
                <w:szCs w:val="18"/>
                <w:color w:val="auto"/>
                <w:w w:val="99"/>
              </w:rPr>
              <w:t>24</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(632,467)</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24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 stock from direct offering,</w:t>
            </w: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of offering costs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2,030,314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3"/>
          </w:tcPr>
          <w:p>
            <w:pPr>
              <w:jc w:val="center"/>
              <w:ind w:left="614"/>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24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pre-funded warrants from direct</w:t>
            </w:r>
          </w:p>
        </w:tc>
        <w:tc>
          <w:tcPr>
            <w:tcW w:w="1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offering, net of offering costs</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center"/>
              <w:ind w:left="614"/>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24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series 1 warrants from direct offering,</w:t>
            </w: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of offering costs</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3"/>
          </w:tcPr>
          <w:p>
            <w:pPr>
              <w:jc w:val="center"/>
              <w:ind w:left="614"/>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24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series 2 warrants from direct offering,</w:t>
            </w:r>
          </w:p>
        </w:tc>
        <w:tc>
          <w:tcPr>
            <w:tcW w:w="1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of offering costs</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center"/>
              <w:ind w:left="614"/>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24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options and employee stock purchase plan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3"/>
          </w:tcPr>
          <w:p>
            <w:pPr>
              <w:jc w:val="center"/>
              <w:ind w:left="614"/>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center"/>
              <w:ind w:left="614"/>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Unrealized losses on marketable securities</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center"/>
              <w:ind w:left="614"/>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2026</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58,710,490</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576,061</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(652,342)</w:t>
            </w: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1"/>
        </w:trPr>
        <w:tc>
          <w:tcPr>
            <w:tcW w:w="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40" w:type="dxa"/>
            <w:vAlign w:val="bottom"/>
            <w:gridSpan w:val="8"/>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3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40" w:type="dxa"/>
            <w:vAlign w:val="bottom"/>
          </w:tcPr>
          <w:p>
            <w:pPr>
              <w:spacing w:after="0"/>
              <w:rPr>
                <w:sz w:val="9"/>
                <w:szCs w:val="9"/>
                <w:color w:val="auto"/>
              </w:rPr>
            </w:pPr>
          </w:p>
        </w:tc>
        <w:tc>
          <w:tcPr>
            <w:tcW w:w="4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gridSpan w:val="8"/>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restart"/>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9"/>
                <w:szCs w:val="9"/>
                <w:color w:val="auto"/>
              </w:rPr>
            </w:pPr>
          </w:p>
        </w:tc>
        <w:tc>
          <w:tcPr>
            <w:tcW w:w="1240" w:type="dxa"/>
            <w:vAlign w:val="bottom"/>
            <w:gridSpan w:val="3"/>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3"/>
            <w:vMerge w:val="restart"/>
          </w:tcPr>
          <w:p>
            <w:pPr>
              <w:jc w:val="right"/>
              <w:ind w:right="18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restart"/>
          </w:tcPr>
          <w:p>
            <w:pPr>
              <w:jc w:val="center"/>
              <w:ind w:right="140"/>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Gain</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55,594,131</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512,515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center"/>
              <w:ind w:left="734"/>
              <w:spacing w:after="0"/>
              <w:rPr>
                <w:sz w:val="20"/>
                <w:szCs w:val="20"/>
                <w:color w:val="auto"/>
              </w:rPr>
            </w:pPr>
            <w:r>
              <w:rPr>
                <w:rFonts w:ascii="Times New Roman" w:cs="Times New Roman" w:eastAsia="Times New Roman" w:hAnsi="Times New Roman"/>
                <w:sz w:val="18"/>
                <w:szCs w:val="18"/>
                <w:color w:val="auto"/>
              </w:rPr>
              <w:t>135</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(558,184)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(45,528)</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42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options and employee stock purchase plan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127,209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losses on marketable securities</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(18,834)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Balances at March 31, 2025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55,721,340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515,346</w:t>
            </w:r>
          </w:p>
        </w:tc>
        <w:tc>
          <w:tcPr>
            <w:tcW w:w="8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(577,018)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(61,652)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Foghorn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7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lease expense</w:t>
            </w: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Accretion of discount on marketable securities</w:t>
            </w: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70"/>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0" w:type="dxa"/>
            <w:vAlign w:val="bottom"/>
          </w:tcPr>
          <w:p>
            <w:pPr>
              <w:spacing w:after="0"/>
              <w:rPr>
                <w:sz w:val="1"/>
                <w:szCs w:val="1"/>
                <w:color w:val="auto"/>
              </w:rPr>
            </w:pPr>
          </w:p>
        </w:tc>
      </w:tr>
      <w:tr>
        <w:trPr>
          <w:trHeight w:val="270"/>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(23,968)</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(51,124)</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80,553</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29,401</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Proceeds from offerings of common stock, pre-funded warrants, and series warrants</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of underwriting discounts and commissions</w:t>
            </w: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of public offering costs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Proceeds from issuance of common stock upon exercise of stock options and</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cash, cash equivalents and restricted cash</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57,162</w:t>
            </w:r>
          </w:p>
        </w:tc>
        <w:tc>
          <w:tcPr>
            <w:tcW w:w="0" w:type="dxa"/>
            <w:vAlign w:val="bottom"/>
          </w:tcPr>
          <w:p>
            <w:pPr>
              <w:spacing w:after="0"/>
              <w:rPr>
                <w:sz w:val="1"/>
                <w:szCs w:val="1"/>
                <w:color w:val="auto"/>
              </w:rPr>
            </w:pPr>
          </w:p>
        </w:tc>
      </w:tr>
      <w:tr>
        <w:trPr>
          <w:trHeight w:val="221"/>
        </w:trPr>
        <w:tc>
          <w:tcPr>
            <w:tcW w:w="82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90,913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62,734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and noncash investing and financing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taxes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 expenses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offering costs in accounts payable and accrued expenses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61,026</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 shown in the statement of cash flows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Foghorn Therapeutics Inc.</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 Going Concern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Business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Foghorn Therapeutics Inc. (the “Company”) is a clinical-stage biopharmaceutical company discovering and developing a new class of medicines targeting genetically determined dependencies within the chromatin regulatory system. The Company uses its proprietary Gene Traffic Control platform to identify, validate and potentially drug targets within the system. The Company was founded in October 2015 as a Delaware corporation. The Company is headquartered in Watertown, Massachusetts.</w:t>
      </w:r>
    </w:p>
    <w:p>
      <w:pPr>
        <w:spacing w:after="0" w:line="7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is subject to risks similar to those of other clinical-stage companies in the biopharmaceutical industry, including dependence on key individuals, the need to develop commercially viable products, competition from other companies, many of whom are larger and better capitalized, and the need to obtain adequate additional financing to fund the development of its products. There can be no assurance that the Company’s research and development will be successfully completed, that adequate protection for the Company’s intellectual property will be maintained, that any products developed will obtain required regulatory approval or that any approved products will be commercially viable. Even if the Company’s development efforts are successful, it is uncertain when, if ever, the Company will generate significant revenue from the sale of its products.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on the basis of continuity of operations, realization of assets and the satisfaction of liabilities and commitments in the ordinary course of business. Since inception, the Company has funded its operations primarily with proceeds from sales of preferred stock, upfront and milestone payments from collaboration agreements, public offerings and a stock purchase agreement. The Company has incurred recurring losses, including net losses of $19.9 million and $18.8 million for the three months ended March 31, 2026 and 2025, respectively. As of March 31, 2026, the Company had an accumulated deficit of $652.3 million. The Company expects to continue to generate operating losses in the foreseeable future. As of the issuance date of these interim unaudited condensed consolidated financial statements the Company expects that its cash, cash equivalents and marketable securities will be sufficient to fund its operating expenses and capital expenditure requirements for at least 12 months.</w:t>
      </w:r>
    </w:p>
    <w:p>
      <w:pPr>
        <w:spacing w:after="0" w:line="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will need to obtain additional funding through public or private equity offerings, debt financings, collaborations, strategic alliances and/or licensing arrangements to continue to fund its operations. The Company may not be able to obtain financing on acceptable terms, or at all, and the Company may not be able to enter into collaborative or strategic alliances or licensing arrangements. The terms of any financing may adversely affect the holdings or the rights of the Company’s stockholders. Arrangements with collaborators or others may require the Company to relinquish rights to certain of its technologies or programs. If the Company is unable to obtain funding, the Company could be forced to delay, reduce or eliminate some or all of its research and development programs, pipeline expansion or commercialization efforts, which could adversely affect its business prospects. Although management will continue to pursue these plans, there is no assurance that the Company will be successful in obtaining sufficient funding in the future on terms acceptable to the Company to fund continuing operations when needed or at all.</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have been prepared in conformity with accounting principles generally accepted in the United States of America (“GAAP”) and pursuant to the rules and regulations of the United States Securities and Exchange Commission for interim financial statements. Certain information and footnote disclosures normally included in financial statements prepared in accordance with GAAP have been condensed or omitted pursuant to such rules and regulations. The accompanying unaudited condensed consolidated financial statements include the accounts of the Company and its wholly-owned subsidiary. All intercompany accounts and transactions have been eliminated in consolidation. Any reference in these notes to applicable guidance is meant to refer to the authoritative GAAP as found in the Accounting Standards Codification (“ASC”) and Accounting Standards Update (“ASU”) of the Financial Accounting Standards Board (“FASB”).</w:t>
      </w: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9"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color w:val="auto"/>
        </w:rPr>
        <w:t xml:space="preserve">The accounting policies of the Company are set forth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consolidated financial statements contained in the Company’s 2025 Annual Report on Form 10-K, and the accounting policies followed by the Company for interim financial reporting are consistent with the accounting policies therein.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the Company adopts as of the specified effective date.</w:t>
      </w:r>
    </w:p>
    <w:p>
      <w:pPr>
        <w:spacing w:after="0" w:line="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which is intended to improve disclosures about a public company’s expenses including the disclosure of certain expenses included and aggregated in captions such as cost of sales, selling general &amp; administrative and research and development expenses on the consolidated financial statements on an interim and annual basis. The standard is effective for annual periods beginning after December 15, 2026 and interim periods within annual periods beginning after December 15, 2027. Early adoption is permitted. The Company is currently evaluating the impact of the standard on the presentation of its condensed consolidated financial statements and footnotes.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 and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available for sale marketable securities by security type consisted of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3"/>
                <w:szCs w:val="13"/>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3"/>
                <w:szCs w:val="13"/>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60" w:type="dxa"/>
            <w:vAlign w:val="bottom"/>
          </w:tcPr>
          <w:p>
            <w:pPr>
              <w:spacing w:after="0"/>
              <w:rPr>
                <w:sz w:val="13"/>
                <w:szCs w:val="13"/>
                <w:color w:val="auto"/>
              </w:rPr>
            </w:pPr>
          </w:p>
        </w:tc>
        <w:tc>
          <w:tcPr>
            <w:tcW w:w="11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7"/>
                <w:szCs w:val="17"/>
                <w:color w:val="auto"/>
              </w:rPr>
            </w:pPr>
          </w:p>
        </w:tc>
        <w:tc>
          <w:tcPr>
            <w:tcW w:w="11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9"/>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 (due within one year)</w:t>
            </w:r>
          </w:p>
        </w:tc>
        <w:tc>
          <w:tcPr>
            <w:tcW w:w="8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57,314</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57,254</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notes and bonds (due within one year)</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33,710</w:t>
            </w:r>
          </w:p>
        </w:tc>
        <w:tc>
          <w:tcPr>
            <w:tcW w:w="0" w:type="dxa"/>
            <w:vAlign w:val="bottom"/>
          </w:tcPr>
          <w:p>
            <w:pPr>
              <w:spacing w:after="0"/>
              <w:rPr>
                <w:sz w:val="1"/>
                <w:szCs w:val="1"/>
                <w:color w:val="auto"/>
              </w:rPr>
            </w:pPr>
          </w:p>
        </w:tc>
      </w:tr>
      <w:tr>
        <w:trPr>
          <w:trHeight w:val="176"/>
        </w:trPr>
        <w:tc>
          <w:tcPr>
            <w:tcW w:w="4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Corporate notes and bonds (due after one year through two</w:t>
            </w: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years)</w:t>
            </w: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0" w:type="dxa"/>
            <w:vAlign w:val="bottom"/>
          </w:tcPr>
          <w:p>
            <w:pPr>
              <w:spacing w:after="0"/>
              <w:rPr>
                <w:sz w:val="1"/>
                <w:szCs w:val="1"/>
                <w:color w:val="auto"/>
              </w:rPr>
            </w:pPr>
          </w:p>
        </w:tc>
      </w:tr>
      <w:tr>
        <w:trPr>
          <w:trHeight w:val="223"/>
        </w:trPr>
        <w:tc>
          <w:tcPr>
            <w:tcW w:w="49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96,101</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95,968</w:t>
            </w:r>
          </w:p>
        </w:tc>
        <w:tc>
          <w:tcPr>
            <w:tcW w:w="0" w:type="dxa"/>
            <w:vAlign w:val="bottom"/>
          </w:tcPr>
          <w:p>
            <w:pPr>
              <w:spacing w:after="0"/>
              <w:rPr>
                <w:sz w:val="1"/>
                <w:szCs w:val="1"/>
                <w:color w:val="auto"/>
              </w:rPr>
            </w:pPr>
          </w:p>
        </w:tc>
      </w:tr>
      <w:tr>
        <w:trPr>
          <w:trHeight w:val="21"/>
        </w:trPr>
        <w:tc>
          <w:tcPr>
            <w:tcW w:w="5740" w:type="dxa"/>
            <w:vAlign w:val="bottom"/>
            <w:gridSpan w:val="2"/>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85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As of December 31, 2025, available for sale marketable securities by security type consisted of (in thousands):</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49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23"/>
                <w:szCs w:val="23"/>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23"/>
                <w:szCs w:val="23"/>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60" w:type="dxa"/>
            <w:vAlign w:val="bottom"/>
          </w:tcPr>
          <w:p>
            <w:pPr>
              <w:spacing w:after="0"/>
              <w:rPr>
                <w:sz w:val="23"/>
                <w:szCs w:val="23"/>
                <w:color w:val="auto"/>
              </w:rPr>
            </w:pPr>
          </w:p>
        </w:tc>
        <w:tc>
          <w:tcPr>
            <w:tcW w:w="11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0" w:type="dxa"/>
            <w:vAlign w:val="bottom"/>
          </w:tcPr>
          <w:p>
            <w:pPr>
              <w:spacing w:after="0"/>
              <w:rPr>
                <w:sz w:val="1"/>
                <w:szCs w:val="1"/>
                <w:color w:val="auto"/>
              </w:rPr>
            </w:pPr>
          </w:p>
        </w:tc>
      </w:tr>
      <w:tr>
        <w:trPr>
          <w:trHeight w:val="195"/>
        </w:trPr>
        <w:tc>
          <w:tcPr>
            <w:tcW w:w="4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6"/>
                <w:szCs w:val="16"/>
                <w:color w:val="auto"/>
              </w:rPr>
            </w:pPr>
          </w:p>
        </w:tc>
        <w:tc>
          <w:tcPr>
            <w:tcW w:w="11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8"/>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agencies (due within one year)</w:t>
            </w:r>
          </w:p>
        </w:tc>
        <w:tc>
          <w:tcPr>
            <w:tcW w:w="8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 (due within one year)</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35,287</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notes and bonds (due within one year)</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41,231</w:t>
            </w:r>
          </w:p>
        </w:tc>
        <w:tc>
          <w:tcPr>
            <w:tcW w:w="0" w:type="dxa"/>
            <w:vAlign w:val="bottom"/>
          </w:tcPr>
          <w:p>
            <w:pPr>
              <w:spacing w:after="0"/>
              <w:rPr>
                <w:sz w:val="1"/>
                <w:szCs w:val="1"/>
                <w:color w:val="auto"/>
              </w:rPr>
            </w:pPr>
          </w:p>
        </w:tc>
      </w:tr>
      <w:tr>
        <w:trPr>
          <w:trHeight w:val="223"/>
        </w:trPr>
        <w:tc>
          <w:tcPr>
            <w:tcW w:w="49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77,994</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78,018</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92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fair value hierarchy for its assets and liabilities, which are measured at fair value on a recurring basis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18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at March 31, 2026 Using:</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5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30"/>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79,991</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79,991</w:t>
            </w:r>
          </w:p>
        </w:tc>
      </w:tr>
      <w:tr>
        <w:trPr>
          <w:trHeight w:val="230"/>
        </w:trPr>
        <w:tc>
          <w:tcPr>
            <w:tcW w:w="5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7,467</w:t>
            </w:r>
          </w:p>
        </w:tc>
      </w:tr>
      <w:tr>
        <w:trPr>
          <w:trHeight w:val="229"/>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57,254</w:t>
            </w:r>
          </w:p>
        </w:tc>
      </w:tr>
      <w:tr>
        <w:trPr>
          <w:trHeight w:val="230"/>
        </w:trPr>
        <w:tc>
          <w:tcPr>
            <w:tcW w:w="5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Corporate notes and bonds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38,714</w:t>
            </w:r>
          </w:p>
        </w:tc>
      </w:tr>
      <w:tr>
        <w:trPr>
          <w:trHeight w:val="223"/>
        </w:trPr>
        <w:tc>
          <w:tcPr>
            <w:tcW w:w="51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79,991</w:t>
            </w:r>
          </w:p>
        </w:tc>
        <w:tc>
          <w:tcPr>
            <w:tcW w:w="10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103,435</w:t>
            </w:r>
          </w:p>
        </w:tc>
        <w:tc>
          <w:tcPr>
            <w:tcW w:w="10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183,426</w:t>
            </w:r>
          </w:p>
        </w:tc>
      </w:tr>
      <w:tr>
        <w:trPr>
          <w:trHeight w:val="21"/>
        </w:trPr>
        <w:tc>
          <w:tcPr>
            <w:tcW w:w="5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tcBorders>
            <w:gridSpan w:val="9"/>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0"/>
        </w:trPr>
        <w:tc>
          <w:tcPr>
            <w:tcW w:w="5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640" w:type="dxa"/>
            <w:vAlign w:val="bottom"/>
            <w:tcBorders>
              <w:bottom w:val="single" w:sz="8" w:color="auto"/>
            </w:tcBorders>
            <w:gridSpan w:val="9"/>
          </w:tcPr>
          <w:p>
            <w:pPr>
              <w:jc w:val="center"/>
              <w:ind w:left="694"/>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2025 Using:</w:t>
            </w:r>
          </w:p>
        </w:tc>
        <w:tc>
          <w:tcPr>
            <w:tcW w:w="1100" w:type="dxa"/>
            <w:vAlign w:val="bottom"/>
            <w:tcBorders>
              <w:bottom w:val="single" w:sz="8" w:color="auto"/>
            </w:tcBorders>
          </w:tcPr>
          <w:p>
            <w:pPr>
              <w:spacing w:after="0"/>
              <w:rPr>
                <w:sz w:val="16"/>
                <w:szCs w:val="16"/>
                <w:color w:val="auto"/>
              </w:rPr>
            </w:pPr>
          </w:p>
        </w:tc>
      </w:tr>
      <w:tr>
        <w:trPr>
          <w:trHeight w:val="196"/>
        </w:trPr>
        <w:tc>
          <w:tcPr>
            <w:tcW w:w="5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7"/>
                <w:szCs w:val="17"/>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9"/>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56,357</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56,357</w:t>
            </w:r>
          </w:p>
        </w:tc>
      </w:tr>
      <w:tr>
        <w:trPr>
          <w:trHeight w:val="230"/>
        </w:trPr>
        <w:tc>
          <w:tcPr>
            <w:tcW w:w="5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24,227</w:t>
            </w:r>
          </w:p>
        </w:tc>
      </w:tr>
      <w:tr>
        <w:trPr>
          <w:trHeight w:val="229"/>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U.S. government agencies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30"/>
        </w:trPr>
        <w:tc>
          <w:tcPr>
            <w:tcW w:w="5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35,287</w:t>
            </w:r>
          </w:p>
        </w:tc>
      </w:tr>
      <w:tr>
        <w:trPr>
          <w:trHeight w:val="229"/>
        </w:trPr>
        <w:tc>
          <w:tcPr>
            <w:tcW w:w="5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Corporate notes and bonds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41,231</w:t>
            </w:r>
          </w:p>
        </w:tc>
      </w:tr>
      <w:tr>
        <w:trPr>
          <w:trHeight w:val="248"/>
        </w:trPr>
        <w:tc>
          <w:tcPr>
            <w:tcW w:w="518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158,602</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and 2025, there were no transfers between Level 1, Level 2 and Level 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8,035</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7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8,920</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w:t>
            </w:r>
          </w:p>
        </w:tc>
      </w:tr>
      <w:tr>
        <w:trPr>
          <w:trHeight w:val="223"/>
        </w:trPr>
        <w:tc>
          <w:tcPr>
            <w:tcW w:w="79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w:t>
            </w:r>
          </w:p>
        </w:tc>
      </w:tr>
      <w:tr>
        <w:trPr>
          <w:trHeight w:val="21"/>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was $0.2 million and $0.8 million for the three months ended March 31, 2026 and 2025, respectively.</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external research and development expenses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5,921</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r>
      <w:tr>
        <w:trPr>
          <w:trHeight w:val="229"/>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48"/>
        </w:trPr>
        <w:tc>
          <w:tcPr>
            <w:tcW w:w="7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11,357</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Common Stock and Net Loss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Each share of common stock, par value $0.0001 per share (“Common Stock”), entitles the holder to one vote on all matters submitted to a vote of the Company’s stockholders. Common stockholders are not entitled to receive dividends, unless declared by the board of directors.</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January 9, 2026, the Company entered into securities purchase agreements (the “Purchase Agreements”) with certain leading life sciences investors (the “Investors”), relating to the issuance and sale of 2,030,314 shares of its Common Stock and, in lieu of Common Stock, pre-funded warrants to purchase 5,421,250 shares of Common Stock (the “Pre-Funded Warrants”). The Company sold the shares of Common Stock and Pre-Funded Warrants together with two series of warrants, Series 1 Warrants and Series 2 Warrants, to purchase an aggregate of 7,451,564 shares of the Common Stock (the “Series Warrants”). The Pre-Funded Warrants were exercisable immediately upon issuance at an initial exercise price of $0.0001 per share and have a term of 20 years. The shares of Common Stock, or Pre-Funded Warrants, and the accompanying Series Warrants were immediately separable and were issued separately, but they were purchased together in the offering.</w:t>
      </w:r>
    </w:p>
    <w:p>
      <w:pPr>
        <w:spacing w:after="0" w:line="8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offering price for the shares of Common Stock is $6.71 per share (or $6.7099 for each Pre-Funded Warrant, which equals the price per share of the Common Stock less the exercise price of the Pre-Funded Warrants). The aggregate gross proceeds to the Company from this offering were approximately $50.0 million before any offering expenses, and excluding any proceeds the Company may receive upon exercise of the Pre-Funded Warrants and Series Warrants. The Company incurred offering costs of approximately $0.3 million, which were treated as a reduction to equity. No underwriter or placement agent participated in the offering. As the Pre-funded Warrants are indexed to the Company’s common stock (and otherwise meet the requirements to be classified in equity), the Pre-Funded Warrants were classified as a component of permanent equity on the Company’s condensed consolidated balance sheets and statements of stockholder’s deficit.</w:t>
      </w:r>
    </w:p>
    <w:p>
      <w:pPr>
        <w:spacing w:after="0" w:line="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Series Warrants are also immediately exercisable. Each of the 3,725,782 Series 1 Warrants have an initial exercise price of $13.42 per share of Common Stock, subject to certain customary anti-dilution adjustments, and expires on June 30, 2027. Each of the 3,725,782 Series 2 Warrants have an initial exercise price of $20.13 per share of Common Stock, subject to certain customary anti-dilution adjustments, and expires on December 31, 2030. For the Series Warrants, the Investor may elect to receive, in lieu of shares of Common Stock, pre-funded warrants to purchase an equivalent number of shares of Common Stock.</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prior to the expiration date of the Series Warrant, the Company sells additional capital stock or derivative securities convertible into or exercisable for capital stock (other than Exempted Securities as defined by the Series Warrant) in one or more related transactions primarily for the purpose of raising capital at a Weighted-Average Price (as described below) below $13.42 per share, then the initial exercise price of the Series Warrants will be automatically reset upon exercise to an exercise price (the “Adjusted Exercise Price”) that is the midpoint between the initial exercise price and the lowest Weighted-Average Price per share at which the Company sells capital stock or derivative securities convertible into or exercisable for capital stock in a subsequent offering prior to the exercise date; provided, however, that the Adjusted Exercise Price will not be reduced below $6.71 per share. The Weighted-Average Price shall be calculated as the weighted-average common stock equivalent price of the equity securities sold in such transaction(s) (excluding any derivative securities with an exercise or conversion price that is above the closing sale price as of the time of pricing such offering(s)). In no event will the exercise price for the Series Warrants be adjusted more than once pursuant to this adjustment mechanism.</w:t>
      </w:r>
    </w:p>
    <w:p>
      <w:pPr>
        <w:spacing w:after="0" w:line="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Series Warrants (and the Pre-Funded Warrants) may not be exercised by the holder to the extent that the holder, together with its affiliates, would beneficially own, after such exercise more than 9.99% of the shares of the Company’s common stock then outstanding (subject to the right of the holder to increase or decrease such beneficial ownership limitation upon notice to the Company, provided that such limitation cannot exceed 19.99%) and provided that any increase in the beneficial ownership</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limitation shall not be effective until 61 days after such notice is delivered. As of March 31, 2026, no Pre-Funded or Series Warrants have been exercised.</w:t>
      </w:r>
    </w:p>
    <w:p>
      <w:pPr>
        <w:spacing w:after="0" w:line="11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Series Warrants are also indexed to the Company’s common stock (and otherwise meet the requirements to be classified in equity) and were classified as a component of permanent equity on the Company’s condensed consolidated balance sheets and statements of stockholder’s deficit.</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Because each of the instruments issued are classified within permanent equity, The Company allocated the financing proceeds among the Common Stock, Pre-Funded Warrants, and Series Warrants based on each instrument’s relative fair value. The Company valued the Series Warrants at issuance using Monte Carlo Simulation model and determined the fair value of the 7,451,564 Series Warrants to be $12.2 million. The key inputs to the valuation model included the weighted average volatility of 88.2% and the weighted average expected term of 4.13 years.</w:t>
      </w:r>
    </w:p>
    <w:p>
      <w:pPr>
        <w:spacing w:after="0" w:line="7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On April 15, 2022, the Company entered into a sales agreement (the “Sales Agreement”) with Cowen and Company, LLC (“Cowen”) with respect to an at-the-market offering (the “ATM Offering”) pursuant to which the Company, at its discretion, may offer and sell shares of its Common Stock having an aggregate offering price of up to $200.0 million from time to time through Cowen as its sales agent. Sales of Common Stock through Cowen, if any, will be made by any method permitted by law deemed to be an “at the market offering” as defined in Rule 415(a)(4) under the Securities Act of 1933, as amended. The Company will pay Cowen a commission of up to 3.0% of the gross sales price of any Common Stock sold through Cowen under the Sales Agreement.</w:t>
      </w:r>
    </w:p>
    <w:p>
      <w:pPr>
        <w:spacing w:after="0" w:line="6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March 20, 2025, the Company and TD Securities (USA) LLC, as successor to Cowen (“TD Cowen”) entered into amended the sales agreement (the “Amended Sales Agreement”), which, among other things, reduced the amount of shares of Common Stock that may be sold under the ATM Offering to up to $100 million of shares of Common Stock.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the Company issued and sold no shares of its Common Stock under the ATM Facility.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pre-funded warrants outstanding at each period end were included in the basic and diluted net loss per share calculation: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1940" w:type="dxa"/>
            <w:vAlign w:val="bottom"/>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6"/>
                <w:szCs w:val="16"/>
                <w:color w:val="auto"/>
              </w:rPr>
            </w:pPr>
          </w:p>
        </w:tc>
      </w:tr>
      <w:tr>
        <w:trPr>
          <w:trHeight w:val="23"/>
        </w:trPr>
        <w:tc>
          <w:tcPr>
            <w:tcW w:w="82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Pre-funded warrants to purchase common stock</w:t>
            </w:r>
          </w:p>
        </w:tc>
        <w:tc>
          <w:tcPr>
            <w:tcW w:w="1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11,916,079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7,220,794</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and 2025, no pre-funded warrants were exercised.</w:t>
      </w:r>
    </w:p>
    <w:p>
      <w:pPr>
        <w:spacing w:after="0" w:line="11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common stock equivalents presented based on amounts outstanding at each period end have been excluded from the calculation of diluted net loss per share because including them would have had an anti-dilutive impact: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194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Pr>
          <w:p>
            <w:pPr>
              <w:spacing w:after="0"/>
              <w:rPr>
                <w:sz w:val="16"/>
                <w:szCs w:val="16"/>
                <w:color w:val="auto"/>
              </w:rPr>
            </w:pPr>
          </w:p>
        </w:tc>
      </w:tr>
      <w:tr>
        <w:trPr>
          <w:trHeight w:val="23"/>
        </w:trPr>
        <w:tc>
          <w:tcPr>
            <w:tcW w:w="82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13,835,670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10,785,630</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7,470,009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18,445</w:t>
            </w:r>
          </w:p>
        </w:tc>
      </w:tr>
      <w:tr>
        <w:trPr>
          <w:trHeight w:val="248"/>
        </w:trPr>
        <w:tc>
          <w:tcPr>
            <w:tcW w:w="8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21,305,679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10,804,075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2020 Equity Incentive Plan (the “2020 Plan”) provides for the grant of incentive stock options, non-qualified options, stock appreciation rights, restricted stock awards, restricted stock units and other stock-based awards. The number of shares initially reserved for issuance under the 2020 Plan was (i) 2,200,000 shares (the “share pool”), plus (ii) the number of shares of common stock available for issuance under the Company’s 2016 Stock Incentive Plan (the “2016 Plan”) as of the effective date of the 2020 Plan, plus the number of shares of Common Stock underlying awards under the 2016 Plan that on or after the date of adoption expire or become unexercisable without delivery of shares, are forfeited to, or repurchased for cash, are settled in cash, or otherwise become available again for grant under the 2016 Plan, in each case, in accordance with its terms (up to an aggregate of 5,078,295 shares). As of March 31, 2026, 2,162,136 shares remained available for future grant under the 2020 Plan.</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share pool will automatically increase on January 1 of each year from 2021 to 2030 by the lesser of (i) four percent of the number of shares of our Common Stock outstanding as of the close of business on the immediately preceding December 31 and (ii) the number of shares determined by the board of directors on or prior to such date for such year. The number of shares reserved for issuance under the 2020 Plan was increased by 2,266,293 shares effective January 1, 2026.</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2020 Plan is administered by the board of directors or, at the discretion of the board of directors, by a committee of the board of directors. The exercise prices, vesting and other restrictions are determined at the discretion of the board of directors, or its committee if so delegated. Stock options granted with service-based vesting conditions generally vest over four years and expire after ten years. The exercise price for stock options granted is not less than the fair value of Common Stock on the date of grant. The Company bases fair value of common stock on the quoted market price.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October 21, 2020, the Company’s board of directors adopted and its stockholders approved the 2020 Employee Stock Purchase Plan (the “ESPP”), which became effective on October 21, 2020. The aggregate number of shares of Common Stock available for purchase pursuant to the exercise of options under the ESPP is 360,000 shares, plus an automatic annual increase, as of January 1 of each year from 2021 to 2030, equal to the lesser of one percent of the number of shares of Common Stock outstanding as of the close of business on the immediately preceding December 31 and (ii) the number of shares determined by the board of directors on or prior to such date for such year (up to a maximum of 3,220,520 shares). The number of shares reserved for issuance under the ESPP was increased by 566,573 shares effective January 1, 2026. As of March 31, 2026, 2,633,981 shares remained available for future grant under the ESPP.</w:t>
      </w:r>
    </w:p>
    <w:p>
      <w:pPr>
        <w:spacing w:after="0" w:line="81"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8"/>
          <w:szCs w:val="18"/>
          <w:color w:val="auto"/>
        </w:rPr>
        <w:t>Eligible employees may authorize payroll deductions of up to 15% of their eligible compensation during an offering period. The purchase of shares is done at a 15% discount on the lesser of (i) the Fair Market Value of a share of Stock on the first day of the offering period and (ii) the Fair Market Value of a</w:t>
      </w:r>
    </w:p>
    <w:p>
      <w:pPr>
        <w:spacing w:after="0" w:line="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share of Stock on the last day of the offering period. The Company currently holds two offering periods, September 1 and March 1, respectively. The Company recognized a de minimis amount of expense related to the ESPP for the three months ended March 31, 2026 and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was classified in the condensed consolidated statements of operations and comprehensive loss as follows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26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Pr>
          <w:p>
            <w:pPr>
              <w:spacing w:after="0"/>
              <w:rPr>
                <w:sz w:val="16"/>
                <w:szCs w:val="16"/>
                <w:color w:val="auto"/>
              </w:rPr>
            </w:pPr>
          </w:p>
        </w:tc>
      </w:tr>
      <w:tr>
        <w:trPr>
          <w:trHeight w:val="23"/>
        </w:trPr>
        <w:tc>
          <w:tcPr>
            <w:tcW w:w="79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0"/>
        </w:trPr>
        <w:tc>
          <w:tcPr>
            <w:tcW w:w="79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w:t>
            </w:r>
          </w:p>
        </w:tc>
      </w:tr>
      <w:tr>
        <w:trPr>
          <w:trHeight w:val="248"/>
        </w:trPr>
        <w:tc>
          <w:tcPr>
            <w:tcW w:w="79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March 31, 2026, total unrecognized compensation cost related to unvested options was $24.8 million, which is expected to be recognized over a weighted average period of 3.0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Collaboration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Lilly Collaboration Agreement and Stock Purchase Agreement</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December 2021, the Company entered into a collaboration agreement (the “Lilly Collaboration Agreement”) with Eli Lilly and Company (“Lilly”) to create novel oncology medicines by applying Foghorn’s proprietary Gene Traffic Control platform. The collaboration includes a co-development and co-commercialization agreement for the Company’s selective SMARCA2 (BRM) oncology target, consisting of two programs, and one additional undisclosed oncology target (collectively, the “Joint Programs”). The collaboration also includes three additional discovery targets or programs (collectively, the “Discovery Programs”) for a total of six programs directed at five targets.</w:t>
      </w:r>
    </w:p>
    <w:p>
      <w:pPr>
        <w:spacing w:after="0" w:line="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With respect to the Joint Programs, the Company will lead discovery and early research activities through the successful completion of dose finding toxicity studies for the identified compound, while Lilly will lead development and commercialization activities of the identified compound with participation from the Company in development activities and 50% cost sharing until registrational clinical trials. The Company and Lilly may jointly develop and commercialize the Joint Program compound though the Company may, in its sole discretion, opt-out on a program-by-program basis of further participation in the development and commercialization efforts prior to the first registrational clinical trial. If the Company does not opt-out, Lilly and the Company will continue to share in the costs to further develop and commercialize the Joint Program compound on a worldwide basis, equally share in the U.S. profits on product sales, subject to certain adjustments and receive</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royalties on sales outside of the United States (“Ex-U.S.”) at royalty rates ranging from low double digits to high twenties. If the Company opts-out of further development and commercialization efforts, it will have no further obligations to share in the development and commercialization costs, will receive royalties rather than profit share on U.S. sales and will receive royalties at a lower rate on Ex-U.S. sales.</w:t>
      </w:r>
    </w:p>
    <w:p>
      <w:pPr>
        <w:spacing w:after="0" w:line="68"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With respect to the Discovery Programs, the Company will lead discovery and early research activities through the successful completion of dose finding toxicity studies for the identified compounds. The Company may, in its sole discretion, opt-in on a program-by-program basis after the successful completion of dose finding toxicity to participate in the further development and commercialization efforts of the Discovery Program compounds. If the Company opts-in to the development and commercialization of the Discovery Program compounds, it will be eligible to receive milestone payments of up to $10.0 million per program upon specified research and development milestones and up to $180.0 million per program upon achievement of specified regulatory and commercial milestones and will also be eligible to share in the U.S. profits at pre-determined percentages on product sales. The Company would also be eligible to receive tiered Ex-U.S. royalty rates, calculated on a product-by-product and country-by-country basis, on net sales outside of the United States, if any, ranging from low single digits to low double digits, but less then teens. If the Company does not opt-in to further development and commercialization efforts for the Discovery Programs, it will be eligible to receive milestone payments of up to $70.0 million per program upon specified research and development milestones and up to $360.0 million per program upon achievement of specified regulatory and commercial milestones per approved product, if any. The Company would also be eligible to receive tiered royalties on net sales of products worldwide at royalty rates ranging from low single digits to low double digits, but less than teens.</w:t>
      </w:r>
    </w:p>
    <w:p>
      <w:pPr>
        <w:spacing w:after="0" w:line="8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Lilly has the right to make substitutions for each of the five targets during the research term of each program, subject to certain limitations. Pursuant to the Lilly Collaboration Agreement, the Company will also participate in joint decision-making through the joint steering committee and subcommittees. Unless terminated earlier, the Lilly Collaboration Agreement will continue on a product-by-product basis until the expiration of all royalty obligations under the Lilly Collaboration Agreement and when neither the Company nor Lilly is developing, commercializing or manufacturing any product under the Lilly Collaboration Agreement. The Company or Lilly may terminate the Lilly Collaboration Agreement upon an uncured material breach by the other party. Lilly may also terminate the Lilly Collaboration Agreement in its entirety or on a target-by-target, program-by-program or product-by-product basis for any reason upon certain notice to the Company.</w:t>
      </w:r>
    </w:p>
    <w:p>
      <w:pPr>
        <w:spacing w:after="0" w:line="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determined that (1) the research activities performed by the Company for both the Joint Programs and the Discovery Programs (2) the development activities and cost sharing for the Joint Program development efforts after dose finding toxicity until registrational clinical trials (3) the research, development, manufacture and commercialization licenses and (4) service on the joint steering committee and subcommittees represent a single performance obligation under the Lilly Collaboration Agreement. The Company determined that Lilly cannot benefit from the licenses separately from the research activities, the development activities until registrational clinical trials and participation on the joint steering committee and subcommittees because these services are specialized and rely on the Company’s expertise such that these activities are highly interrelated and therefore not distinct. Accordingly, the promised goods and services represent one combined performance obligation, and the entire transaction price was allocated to that single combined performance obligation. The performance obligation will be satisfied over time as the Company performs the research activities, participates and shares in the cost of the development activities for the Joint Programs and participates in a joint steering committee and subcommittees to oversee these activities.</w:t>
      </w:r>
    </w:p>
    <w:p>
      <w:pPr>
        <w:spacing w:after="0" w:line="80" w:lineRule="exact"/>
        <w:rPr>
          <w:sz w:val="20"/>
          <w:szCs w:val="20"/>
          <w:color w:val="auto"/>
        </w:rPr>
      </w:pPr>
    </w:p>
    <w:p>
      <w:pPr>
        <w:jc w:val="both"/>
        <w:ind w:right="300"/>
        <w:spacing w:after="0" w:line="282" w:lineRule="auto"/>
        <w:rPr>
          <w:sz w:val="20"/>
          <w:szCs w:val="20"/>
          <w:color w:val="auto"/>
        </w:rPr>
      </w:pPr>
      <w:r>
        <w:rPr>
          <w:rFonts w:ascii="Times New Roman" w:cs="Times New Roman" w:eastAsia="Times New Roman" w:hAnsi="Times New Roman"/>
          <w:sz w:val="18"/>
          <w:szCs w:val="18"/>
          <w:color w:val="auto"/>
        </w:rPr>
        <w:t>The Company’s options to share in further development and commercialization efforts via its opt-in/opt-out rights will be assessed and accounted for as separate units of accounting under the relevant guidance if, and when, such options are exercised by the Company.</w:t>
      </w:r>
    </w:p>
    <w:p>
      <w:pPr>
        <w:spacing w:after="0" w:line="54"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During the third quarter of 2023, the Company transitioned the SMARCA2 (BRM) Selective inhibitor, FHD-909, into development activities for which Lilly leads and the Company participates and shares in 50% of the costs until at least registrational trials. Costs incurred will continue to be included in research and development expenses on the condensed consolidated statements of operations and comprehensive loss.</w:t>
      </w:r>
    </w:p>
    <w:p>
      <w:pPr>
        <w:spacing w:after="0" w:line="6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of March 31, 2026, the aggregate amount of the transaction price related to the unsatisfied portion of the performance obligation was $245.9 million, which is expected to be recognized as revenue through 2029 or beyond depending on the timing of certain clinical development activities. The Company does not expect collaboration revenue to be recognized evenly over this period as it will be recognized on a percentage of completion basis (using cost-to-cost method) as the Company performs the research and development activities and participates on the joint steering committee and subcommittees, which will likely vary from period to period. In estimating the total costs to satisfy its single performance obligation pursuant to the Lilly Collaboration Agreement, the Company is required to make significant estimates including the expected time and expected costs to fulfill the performance obligation. If estimates of the total estimated cost change, or if contract amendments change the scope of the performance obligations, the impacts could be material. The cumulative effect of revisions to the total estimated costs to complete the Company’s single performance obligation will be recorded in the period in which the changes are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identified, and amounts can be reasonably estimated. A significant change in these assumptions and estimates could have a material impact on the timing and amount of revenue recognized in future periods and the classification of deferred revenue between short-term and long-term.</w:t>
      </w:r>
    </w:p>
    <w:p>
      <w:pPr>
        <w:spacing w:after="0" w:line="54"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recorded $3.3 million and $6.0 million, respectively, of revenue under the Lilly Collaboration Agreement, which was included in deferred revenue at the beginning of the respective periods. As of March 31, 2026 and December 31, 2025, the Company had a payable to Lilly of $1.0 million, recorded in accrued expenses and other current liabilities on the Company’s condensed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 xml:space="preserve">The Company leases laboratory and office space under a non-cancelable operating lease (the “Operating Lease”). There have been no material changes to the Company's Operating Lease during the three months ended March 31, 2026. For additional information, see Note 10,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the consolidated financial statements in the Company's Annual Report on Form 10-K for the year ended December 31,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 for the three months ended March 31, 2026 and 2025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40" w:type="dxa"/>
            <w:vAlign w:val="bottom"/>
            <w:gridSpan w:val="8"/>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780" w:type="dxa"/>
            <w:vAlign w:val="bottom"/>
            <w:tcBorders>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7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 related to leases was as follows (in thousands):</w:t>
            </w:r>
          </w:p>
        </w:tc>
        <w:tc>
          <w:tcPr>
            <w:tcW w:w="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77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7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40" w:type="dxa"/>
            <w:vAlign w:val="bottom"/>
            <w:gridSpan w:val="8"/>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7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780" w:type="dxa"/>
            <w:vAlign w:val="bottom"/>
            <w:tcBorders>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acquired in finance lease</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1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The weighted average remaining lease term and discount rate was as follows:</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7780" w:type="dxa"/>
            <w:vAlign w:val="bottom"/>
          </w:tcPr>
          <w:p>
            <w:pPr>
              <w:spacing w:after="0"/>
              <w:rPr>
                <w:sz w:val="24"/>
                <w:szCs w:val="24"/>
                <w:color w:val="auto"/>
              </w:rPr>
            </w:pPr>
          </w:p>
        </w:tc>
        <w:tc>
          <w:tcPr>
            <w:tcW w:w="200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 w:type="dxa"/>
            <w:vAlign w:val="bottom"/>
          </w:tcPr>
          <w:p>
            <w:pPr>
              <w:spacing w:after="0"/>
              <w:rPr>
                <w:sz w:val="24"/>
                <w:szCs w:val="24"/>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7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term—operating leases (in years)</w:t>
            </w: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rate—operating leases</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7.24 %</w:t>
            </w:r>
          </w:p>
        </w:tc>
        <w:tc>
          <w:tcPr>
            <w:tcW w:w="0" w:type="dxa"/>
            <w:vAlign w:val="bottom"/>
          </w:tcPr>
          <w:p>
            <w:pPr>
              <w:spacing w:after="0"/>
              <w:rPr>
                <w:sz w:val="1"/>
                <w:szCs w:val="1"/>
                <w:color w:val="auto"/>
              </w:rPr>
            </w:pPr>
          </w:p>
        </w:tc>
      </w:tr>
      <w:tr>
        <w:trPr>
          <w:trHeight w:val="522"/>
        </w:trPr>
        <w:tc>
          <w:tcPr>
            <w:tcW w:w="8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Future annual minimum lease payments under the Office Lease as of March 31, 2026 were as follows (in thousands):</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7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 (nine months)</w:t>
            </w:r>
          </w:p>
        </w:tc>
        <w:tc>
          <w:tcPr>
            <w:tcW w:w="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lease incentives</w:t>
            </w:r>
          </w:p>
        </w:tc>
        <w:tc>
          <w:tcPr>
            <w:tcW w:w="4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41,994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Included in the consolidated balance sheets (in thousands):</w:t>
            </w: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8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780" w:type="dxa"/>
            <w:vAlign w:val="bottom"/>
            <w:tcBorders>
              <w:bottom w:val="single" w:sz="8" w:color="CCEEFF"/>
            </w:tcBorders>
            <w:vMerge w:val="continue"/>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46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40,131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Sublease agreements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Through December 2025, the Company had subleased portions of premises under a previous office lease in Cambridge, Massachusetts. For additional information, see Note 10,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the consolidated financial statements in the Company's Annual Report on Form 10-K for the year ended December 31, 2025.</w:t>
      </w:r>
    </w:p>
    <w:p>
      <w:pPr>
        <w:spacing w:after="0" w:line="6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the Company recorded other income of $1.4 million, related to its subleases. For the three months ended March 31, 2026, the Company recorded no other income related to subleases as the Company has no subleases as of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commitments under its lease are described in Note 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has entered into various exclusive and non-exclusive license agreements for certain technologies. Under the terms of these license agreements, the Company could be required to reimburse the licensors for patent expenses and remit amounts in the low single-digit as sales-based royalties upon the occurrence of specific events as outlined in the corresponding license agreements. The Company is also required to make annual license maintenance fees of less than $0.1 million and pay up to $1.1 million in regulatory milestones on each licensed product upon the occurrence of specific events as outlined in one of the license agreements. None of our current product candidates utilizes technologies covered by these licenses.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contract research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become involved in litigation or other legal proceedings. The Company is not currently a party to any material litigation or legal proceedings.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Matters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Company was notified that it is currently under IRS audit related to the tax year ended December 31, 2023. The Company is currently evaluating the scope and potential outcomes of the tax audit.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Related Parties</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October 2015, the Company entered into a five-year consulting agreement with a scientific founder of the Company who is also a shareholder. This agreement was amended and extended to January 1, 2027 and is subject to automatic one-year renewal terms until terminated if notice is provided more than 30 days before the current end of term date. During the three months ended March 31, 2026 and 2025, the Company paid the scientific founder a de minimis amount. As of March 31, 2026 and December 31, 2025, the Company had no accounts payable due to the scientific founder.</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December 10, 2021, we entered into the Lilly Collaboration Agreement with Lilly. Concurrent with the Lilly Collaboration Agreement the Company also entered into a stock purchase agreement with Lilly (the “Lilly SPA”) where the Company issued and sold Lilly 4,000,000 shares of our Common Stock at a price of $20.00 per share, making them a 5% or greater shareholder in the Company for the three months ended March 31, 2026 and 2025. We are obligated to make certain payments to Lilly pursuant to the Lilly Collaboration Agreement. During the three months ended March 31, 2026 and 2025, the Company paid Lilly $1.0 million and $0.6 million, respectively. As of March 31, 2026 and December 31, 2025, the Company had a payable of $1.0 million due to Lilly.</w:t>
      </w:r>
    </w:p>
    <w:p>
      <w:pPr>
        <w:spacing w:after="0" w:line="7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January 9, 2026, funds affiliated with Flagship Pioneering, Inc. (“Flagship”), a 5% or greater shareholder in the Company, participated in the January 2026 Offering, purchasing pre-funded warrants to purchase 2,235,468 shares of its Common Stock at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 public offering price of $6.71 per pre-funded warrant, with an exercise price of $0.0001 per share of each pre-funded warrant. The Company sold the pre-funded Warrants together with two series of warrants, Series 1 Warrants and Series 2 Warrants, to purchase an aggregate of 2,235,468 shares of the Common Stock (See Note 6 for additional information on the Series Warrants). Flagship’s participation in the January 2026 Offering resulted in total gross proceeds to the Company of $15.0 million.</w:t>
      </w:r>
    </w:p>
    <w:p>
      <w:pPr>
        <w:spacing w:after="0" w:line="7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January 9, 2026, BVF Partners LP (“BVF”), a 5% or greater shareholder in the Company, participated in the January 2026 Offering, purchasing 540,000 shares of its Common Stock at a public offering price of $6.71 per share as well as pre-funded warrants to purchase 3,185,782 shares of its Common Stock at a public offering price of $6.7099 per pre-funded warrant, with an exercise price of $0.0001 per share of each pre-funded warrant. The Company sold the shares of Common Stock and pre-funded warrants together with two series of warrants, Series 1 Warrants and Series 2 Warrants, to purchase an aggregate of 3,725,782 shares of the Common Stock (See Note 6 for additional information on the Series Warrants). BVF’s participation in the January 2026 Offering resulted in total gross proceeds to the Company of $25.0 million.</w:t>
      </w:r>
    </w:p>
    <w:p>
      <w:pPr>
        <w:spacing w:after="0" w:line="7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January 9, 2026, Deerfield Management Co. LP (“Deerfield”), a 5% or greater shareholder in the Company, participated in the January 2026 Offering, purchasing 745,156 shares of its Common Stock at a public offering price of $6.71 per share. The Company sold the shares of Common Stock together with two series of warrants, Series 1 Warrants and Series 2 Warrants, to purchase an aggregate of 745,156 shares of the Common Stock (See Note 6 for additional information on the Series Warrants). Deerfield’s participation in the January 2026 Offering resulted in total gross proceeds to the Company of $5.0 million.</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January 9, 2026, FMR LLC (“FMR”), a 5% or greater shareholder in the Company, participated in the January 2026 Offering, purchasing 745,158 shares of its Common Stock at a public offering price of $6.71 per share. The Company sold the shares of Common Stock together with two series of warrants, Series 1 Warrants and Series 2 Warrants, to purchase an aggregate of 745,158 shares of the Common Stock (See Note 6 for additional information on the Series Warrants). FMR’s participation in the January 2026 Offering resulted in total gross proceeds to the Company of $5.0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Reporting</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discrete financial information is made available and that is regularly evaluated by the chief operating decision maker (“CODM”) in making decisions regarding resource allocation and assessing performance. The Company manages its operations as a single segment (the “Segment”) for the purposes of assessing performance and making operating decisions. The CODM of the Segment is the Company’s chief executive officer. The Segment is focused on pioneering the discovery and development of a new class of medicines targeting genetically determined dependencies within the chromatin regulatory system. The Segment’s revenue is derived entirely from the recognition of deferred revenue related to our collaboration agreement upfront and milestone payment and funds received under the Lilly SPA (see Note 8, Collaboration Agreement).</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CODM assesses the performance of the Segment and decides how to allocate resources based on net loss that is reported on the condensed consolidated statements of operations and comprehensive loss. Further, the following represents information about segment revenue, segment loss and significant segment expenses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Personnel expenses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6,344</w:t>
            </w:r>
          </w:p>
        </w:tc>
      </w:tr>
      <w:tr>
        <w:trPr>
          <w:trHeight w:val="229"/>
        </w:trPr>
        <w:tc>
          <w:tcPr>
            <w:tcW w:w="80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FHD-286</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30"/>
        </w:trPr>
        <w:tc>
          <w:tcPr>
            <w:tcW w:w="8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Lilly partnered programs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4,625</w:t>
            </w:r>
          </w:p>
        </w:tc>
      </w:tr>
      <w:tr>
        <w:trPr>
          <w:trHeight w:val="229"/>
        </w:trPr>
        <w:tc>
          <w:tcPr>
            <w:tcW w:w="80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Proprietary programs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w:t>
            </w:r>
          </w:p>
        </w:tc>
      </w:tr>
      <w:tr>
        <w:trPr>
          <w:trHeight w:val="229"/>
        </w:trPr>
        <w:tc>
          <w:tcPr>
            <w:tcW w:w="8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Research and development operating and administrative costs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r>
      <w:tr>
        <w:trPr>
          <w:trHeight w:val="230"/>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Personnel expenses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w:t>
            </w:r>
          </w:p>
        </w:tc>
      </w:tr>
      <w:tr>
        <w:trPr>
          <w:trHeight w:val="230"/>
        </w:trPr>
        <w:tc>
          <w:tcPr>
            <w:tcW w:w="80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External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w:t>
            </w:r>
          </w:p>
        </w:tc>
      </w:tr>
      <w:tr>
        <w:trPr>
          <w:trHeight w:val="229"/>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Facilities and IT related expenses, net of sublease income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w:t>
            </w:r>
          </w:p>
        </w:tc>
      </w:tr>
      <w:tr>
        <w:trPr>
          <w:trHeight w:val="229"/>
        </w:trPr>
        <w:tc>
          <w:tcPr>
            <w:tcW w:w="802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Other expenses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(18,834)</w:t>
            </w:r>
          </w:p>
        </w:tc>
      </w:tr>
      <w:tr>
        <w:trPr>
          <w:trHeight w:val="20"/>
        </w:trPr>
        <w:tc>
          <w:tcPr>
            <w:tcW w:w="8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180" w:right="200" w:hanging="172"/>
        <w:spacing w:after="0" w:line="282" w:lineRule="auto"/>
        <w:tabs>
          <w:tab w:leader="none" w:pos="27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Inclusive of $2.4 million and $2.7 million of stock compensation expense for the three months ended March 31, 2026 and 2025, respectively; $0.2 million and $0.8 million of depreciation and amortization expense for the three months ended March 31, 2026 and 2025, respectively.</w:t>
      </w:r>
    </w:p>
    <w:p>
      <w:pPr>
        <w:spacing w:after="0" w:line="200" w:lineRule="exact"/>
        <w:rPr>
          <w:sz w:val="20"/>
          <w:szCs w:val="20"/>
          <w:color w:val="auto"/>
        </w:rPr>
      </w:pPr>
    </w:p>
    <w:p>
      <w:pPr>
        <w:spacing w:after="0" w:line="29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the related notes to those statements included elsewhere in this Quarterly Report on Form 10-Q. In addition to historical financial information, the following discussion and analysis contains forward-looking statements that involve risks, uncertainties and assumptions. Some of the numbers included herein have been rounded for the convenience of presentation. Our actual results may differ materially from those anticipated in these forward-looking statements as a result of many factors, including those discussed under “Risk Factors” in our Annual Report on Form 10-K for the fiscal year ended December 31, 2025 and in this Quarterly Report on Form 10-Q.</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Foghorn is a clinical stage, precision therapeutics biotechnology company pioneering a new class of medicines that treat serious diseases by correcting abnormal gene expression through selectively targeting the chromatin regulatory system, an untapped opportunity for therapeutic intervention in oncology and with potential in a wide spectrum of other diseases including immunology and inflammation.</w:t>
      </w:r>
    </w:p>
    <w:p>
      <w:pPr>
        <w:spacing w:after="0" w:line="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chromatin regulatory system orchestrates gene expression—the turning on and off of genes—which is fundamental to how all our cells function. The chromatin regulatory system is implicated in approximately 50 percent of all cancers, and understanding how this system works could lead to an entirely new class of precision medicines. To our knowledge, we are the only company with the ability to study and target the chromatin regulatory system at scale, in context, and in an integrated way.</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proprietary Gene Traffic Control platform provides an integrated and mechanistic understanding of how the various components of the chromatin regulatory system interact, allowing us to identify, validate and potentially drug targets within this system. We have developed unique capabilities that have yielded new insights and scalability in drugging this new, previously untapped and promising area.</w:t>
      </w:r>
    </w:p>
    <w:p>
      <w:pPr>
        <w:spacing w:after="0" w:line="6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At present, we are working on more than seven programs with one clinical-stage drug candidate currently in Phase 1 development. We have discovered highly selective chemical matter for some of the most challenging targets in oncology including SMARCA2 (BRM), CBP, EP300, and ARID1B as well as other undisclosed targets. We believe our current pipeline has the potential to help more than 500,000 cancer patients. We take a small molecule, modality agnostic approach to drugging targets which includes protein degraders, allosteric enzymatic inhibitors, and transcription factor disruptors. We are a biology-first company, which means we focus first on the underlying genetics and biology of a disease relevant target and then leverage the most appropriate drugging approach to impact the disease biology.</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Since our inception, we have focused substantially all of our resources on building our Gene Traffic Control platform, organizing and staffing our company, business planning, conducting discovery and research activities, raising capital, protecting our trade secrets, filing patent applications, identifying potential product candidates, undertaking preclinical studies and clinical trial activities, establishing arrangements with third parties for the manufacture of initial quantities of our product candidates and component materials and initiating two strategic collaborations. We do not have any products approved for sale and have not generated any revenue from product sales.</w:t>
      </w:r>
    </w:p>
    <w:p>
      <w:pPr>
        <w:spacing w:after="0" w:line="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December 10, 2021, we entered into a collaboration agreement (the “Lilly Collaboration Agreement”) with Eli Lilly and Company (“Lilly”), for which we received an upfront payment of $300.0 million in January 2022 (see Note 8 to our notes to unaudited condensed consolidated financial statements included elsewhere in this Quarterly Report on Form 10-Q). Concurrent with the Lilly Collaboration Agreement, we also entered into a stock purchase agreement (the “Lilly SPA”) with Lilly whereby we issued and sold Lilly 4,000,000 shares of our common stock, par value $0.0001 per share (“Common Stock”), at a price of $20.00 per share, resulting in net proceeds of $80.0 million, of which $42.2 million was allocated to equity upon the issuance of our common stock.</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Lilly Collaboration Agreement generally provides that Lilly and Foghorn will co-develop and co-commercialize certain “joint” programs for the U.S., and these joint programs will be subject to a U.S. profit and expense share. Outside the U.S., the joint programs are subject to a world-wide research and development expense share and ex-U.S. royalties. The joint programs include the selective SMARCA2 oncology program that includes both a selective inhibitor (FHD-909) and a selective degrader, as well as an additional undisclosed oncology target. The collaboration also includes three discovery programs that will leverage Foghorn’s proprietary Gene Traffic Control platform which are subject to customary royalties and milestones and are not subject to co-development, co-commercialization rights.</w:t>
      </w:r>
    </w:p>
    <w:p>
      <w:pPr>
        <w:spacing w:after="0" w:line="7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FHD-909, a selective allosteric ATPase inhibitor of SMARCA2 developed in collaboration with Lilly, was transitioned to Lilly during the third quarter of 2023, which triggered the 50/50 cost share for the SMARCA2 programs. Costs related to the cost-share are included in research and development expenses on the consolidated statements of operations and comprehensive loss.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October 2024, the first patient was dosed in a Phase 1 dose escalation study of FHD-909.</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December 2024, we announced our decision to discontinue the independent development of FHD-286 in combination with decitabine in patients with relapsed and/or refractory acute myeloid leukemia.</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January 9, 2026, the Company entered into securities purchase agreements (the “Purchase Agreements”) with certain leading life sciences investors (the “Investors”), relating to the issuance and sale of 2,030,314 shares of its Common Stock and, in lieu of Common Stock, pre-funded warrants to purchase 5,421,250 shares of Common Stock (the “Pre-Funded Warrants”). The Company sold the shares of Common Stock and Pre-Funded Warrants together with two series of warrants, Series 1 Warrants and Series 2 Warrants, to purchase an aggregate of 7,451,564 shares of the Common Stock (the “Series Warrants”). The Pre-Funded Warrants were exercisable immediately upon issuance at an initial exercise price of $0.0001 per share and have a term of 20 years. The shares of Common Stock, or Pre-Funded Warrants, as applicable, and the accompanying Series Warrants were immediately separable and were issued separately, but they were purchased together in the offering.</w:t>
      </w:r>
    </w:p>
    <w:p>
      <w:pPr>
        <w:spacing w:after="0" w:line="8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Series Warrants were immediately exercisable. Each of the 3,725,782 Series 1 Warrants have an initial exercise price of $13.42 per share of Common Stock, subject to certain adjustments, and expires on June 30, 2027. Each of the 3,725,782 Series 2 Warrants have an initial exercise price of $20.13 per share of Common Stock, subject to certain adjustments, and expires on December 31, 2030. For the Series Warrants, the Investor may elect to receive, in lieu of shares of Common Stock, pre-funded warrants to purchase an equivalent number of shares of Common Stock. The offering (the “January 2026 Offering”) closed on January 13, 2026, resulting in gross proceeds of approximately $50.0 million before offering expenses, and excluding any proceeds the Company may receive upon exercise of the Pre-Funded Warrants and Series Warrants. The Company incurred offering costs of approximately $0.3 million, which were treated as a reduction to equity. No underwriter or placement agent participated in the offering.</w:t>
      </w:r>
    </w:p>
    <w:p>
      <w:pPr>
        <w:spacing w:after="0" w:line="8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For the three months ended March 31, 2026 and the year ended December 31, 2025, we reported net losses of $19.9 million and $74.3 million, respectively. As of March 31, 2026, we had an accumulated deficit of $652.3 million. We expect to continue to incur significant expenses and increasing operating losses for at least the next several years. Our ability to generate any product revenue or product revenue sufficient to achieve profitability will depend on the successful development and eventual commercialization of one or more product candidates we are developing or may develop.</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our expenses and capital requirements will increase substantially in connection with our ongoing activities, particularly if and as we:</w:t>
      </w:r>
    </w:p>
    <w:p>
      <w:pPr>
        <w:spacing w:after="0" w:line="117" w:lineRule="exact"/>
        <w:rPr>
          <w:sz w:val="20"/>
          <w:szCs w:val="20"/>
          <w:color w:val="auto"/>
        </w:rPr>
      </w:pPr>
    </w:p>
    <w:p>
      <w:pPr>
        <w:ind w:left="660" w:right="60" w:hanging="328"/>
        <w:spacing w:after="0" w:line="282" w:lineRule="auto"/>
        <w:tabs>
          <w:tab w:leader="none" w:pos="57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FHD-909 and other product candidates partnered with Lilly, and continue preclinical and clinical development of product candidates from our current portfolio;</w:t>
      </w:r>
    </w:p>
    <w:p>
      <w:pPr>
        <w:spacing w:after="0" w:line="5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advance additional research programs and additional product candidates;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testing for any new product candidates we identify and develop;</w:t>
      </w:r>
    </w:p>
    <w:p>
      <w:pPr>
        <w:spacing w:after="0" w:line="11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57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expand, enforce, defend and protect our trade secrets and intellectual property portfolio and provide reimbursement of third-party expenses related to our patent portfolio;</w:t>
      </w:r>
    </w:p>
    <w:p>
      <w:pPr>
        <w:spacing w:after="0" w:line="5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research and development personnel;</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57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legal, compliance, financial and management information systems and personnel to support our research, product development and operations;</w:t>
      </w:r>
    </w:p>
    <w:p>
      <w:pPr>
        <w:spacing w:after="0" w:line="5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capabilities of our platform;</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 candidates, intellectual property and technologies;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significant operating cost increases as a result of increased inflation or increased tariffs;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as a public company;</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product candidates that successfully complete clinical trials; and</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establish a sales, marketing and distribution infrastructure to commercialize any products for which we may obtain marketing approval.</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will not generate revenue from product sales unless and until we successfully commercialize one of our product candidates, after completing clinical development and obtaining regulatory approval. If we obtain regulatory approval for any of our product candidates, we expect to incur significant expenses related to developing our commercialization capability to support product sales, marketing, manufacturing and distribution. Further, we expect to incur additional costs associated with operating as a public company.</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As a result, we will need substantial additional funding to support our continuing operations and pursue our growth strategy. Until we can generate significant revenue from product sales, if ever, we expect to finance our operations through a combination of equity offerings, debt financings and collaborations or licensing arrangements and the Lilly Collaboration Agreement. We may be unable to raise additional funds or enter into such other agreements or arrangements when needed on favorable terms, or at all. If we fail to raise capital or enter into such agreements as, and when, needed, we may have to significantly delay, scale back our development or commercialization plans for one or more of our product candidates.</w:t>
      </w:r>
    </w:p>
    <w:p>
      <w:pPr>
        <w:spacing w:after="0" w:line="75"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Because of the numerous risks and uncertainties associated with pharmaceutical product development and the current geopolitical and economic and trade environment, we are unable to accurately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ind w:right="360"/>
        <w:spacing w:after="0" w:line="289" w:lineRule="auto"/>
        <w:rPr>
          <w:sz w:val="20"/>
          <w:szCs w:val="20"/>
          <w:color w:val="auto"/>
        </w:rPr>
      </w:pPr>
      <w:r>
        <w:rPr>
          <w:rFonts w:ascii="Times New Roman" w:cs="Times New Roman" w:eastAsia="Times New Roman" w:hAnsi="Times New Roman"/>
          <w:sz w:val="17"/>
          <w:szCs w:val="17"/>
          <w:color w:val="auto"/>
        </w:rPr>
        <w:t>To date, we have not generated any revenue from product sales and do not expect to do so in the near future. If our development efforts for our product candidates are successful and result in regulatory approval or licenses with third parties, we may generate revenue in the future from product sales, milestone payments under our existing collaboration agreement or payments from other license agreements that we may enter into with third parties.</w:t>
      </w:r>
    </w:p>
    <w:p>
      <w:pPr>
        <w:spacing w:after="0" w:line="50"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In December of 2021, we entered into a strategic collaboration with Lilly to create novel oncology medicines by applying Foghorn’s proprietary Gene Traffic Control platform. The collaboration includes a U.S. co-development and co-commercialization agreement for the aforementioned selective SMARCA2 (BRM) oncology program and an additional undisclosed oncology target. In addition, the collaboration includes three additional discovery programs using Foghorn’s proprietary Gene Traffic Control platform. Under the terms of the collaboration, Foghorn received upfront consideration of $300.0 million in cash pursuant to the Lilly Collaboration Agreement, together with an equity investment by Lilly of $80.0 million in shares of Foghorn Common Stock pursuant to the Lilly SPA.</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the SMARCA2 selective program and the additional undisclosed target program, Foghorn will lead discovery and early research activities, while Lilly will lead development and commercialization activities with participation from Foghorn in operational activities and cost sharing. Foghorn and Lilly will share 50/50 in the U.S. economics, and Foghorn is eligible to receive royalties on ex-U.S. sales starting in the low double-digit range and escalating into the twenties based on revenue levels.</w:t>
      </w:r>
    </w:p>
    <w:p>
      <w:pPr>
        <w:spacing w:after="0" w:line="3"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For the additional discovery programs, Foghorn will lead discovery and early research activities. Foghorn may receive up to a total of $1.3 billion in potential development and commercialization milestones. Additionally, Foghorn will have an option to participate in a percentage of the U.S. economics and is eligible to receive tiered royalties from the mid-single digit to low-double digit range on sales outside the U.S. that may be exercised after the successful completion of the dose-finding toxicity studies.</w:t>
      </w:r>
    </w:p>
    <w:p>
      <w:pPr>
        <w:spacing w:after="0" w:line="8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cannot provide assurances as to the timing of future milestones, royalty payments and economics associated with the strategic collaboration with Lilly, if any.</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the third quarter of 2023, we transitioned the Selective SMARCA2 inhibitor, FHD-909, to Lilly, for which Lilly leads and the Company participates and shares in 50% of the costs until at least registrational trials. Costs incurred will continue to be included in research and development expenses on the condensed consolidated statements of operations and comprehensive loss.</w:t>
      </w:r>
    </w:p>
    <w:p>
      <w:pPr>
        <w:spacing w:after="0" w:line="6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recognized total deferred revenue of $337.8 million related to the Lilly Collaboration Agreement and the Lilly SPA, which included the $300.0 million upfront payment under the Lilly Collaboration Agreement as well as $37.8 million allocated to deferred revenue from the gross proceeds of the Lilly SPA to be recognized over the performance period. For the three months ended March 31, 2026 and 2025, we recognized $3.3 million and $6.0 million, respectively, of revenue under the Lilly Collaboration Agreement. As of March 31, 2026, we had $245.9 million of deferred revenue related to the above mentioned upfront payment and revenue allocation remaining on our condensed consolidated balance sheets.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expenses are comprised of research and development expenses and general and administrative expenses.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to progress our proprietary and partnered pipeline, including our discovery efforts, which include:</w:t>
      </w:r>
    </w:p>
    <w:p>
      <w:pPr>
        <w:spacing w:after="0" w:line="54" w:lineRule="exact"/>
        <w:rPr>
          <w:sz w:val="20"/>
          <w:szCs w:val="20"/>
          <w:color w:val="auto"/>
        </w:rPr>
      </w:pPr>
    </w:p>
    <w:p>
      <w:pPr>
        <w:ind w:left="660" w:right="18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costs, including salaries, benefits and stock-based compensation expense, for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660" w:right="200" w:hanging="328"/>
        <w:spacing w:after="0" w:line="312" w:lineRule="auto"/>
        <w:tabs>
          <w:tab w:leader="none" w:pos="6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incurred in connection with our research programs and preclinical and clinical development of our product candidates, including under agreements with third parties, such as consultants and contractors and contract research organizations (“CROs”), and our collaboration partner;</w:t>
      </w:r>
    </w:p>
    <w:p>
      <w:pPr>
        <w:spacing w:after="0" w:line="31" w:lineRule="exact"/>
        <w:rPr>
          <w:rFonts w:ascii="Times New Roman" w:cs="Times New Roman" w:eastAsia="Times New Roman" w:hAnsi="Times New Roman"/>
          <w:sz w:val="17"/>
          <w:szCs w:val="17"/>
          <w:color w:val="auto"/>
        </w:rPr>
      </w:pPr>
    </w:p>
    <w:p>
      <w:pPr>
        <w:ind w:left="660" w:right="8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drug substance and drug product for use in our research and preclinical studies and clinical trials under agreements with third parties, such as consultants and contractors and contract development and manufacturing organizations (“CDMOs”);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research materials;</w:t>
      </w:r>
    </w:p>
    <w:p>
      <w:pPr>
        <w:spacing w:after="0" w:line="11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amortization and other expenses, which include direct and allocated expenses for rent and maintenance of facilities and insurance;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w:t>
      </w:r>
    </w:p>
    <w:p>
      <w:pPr>
        <w:spacing w:after="0" w:line="11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track our direct external research and development expenses on a program-by-program basis. These consist of costs that include fees, reimbursed materials, and other costs paid to consultants, contractors, CDMOs, and CROs in connection with our preclinical, clinical and manufacturing activities. We do not allocate employee costs, costs associated with our discovery efforts, laboratory supplies, and facilities expenses, including depreciation or other indirect costs, to specific product development programs because these costs are deployed across multiple programs and our platform and, as such, are not separately classified.</w:t>
      </w:r>
    </w:p>
    <w:p>
      <w:pPr>
        <w:spacing w:after="0" w:line="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expect that our research and development expenses may increase in the future as we advance our programs into clinical development and continue our discovery, research and preclinical activities in the near term and in the future. At this time, we cannot accurately estimate or know the nature, timing and costs of the efforts that will be necessary to complete the preclinical and clinical development of any product candidates we may develop. A change in the outcome of any number of variables with respect to product candidates we may develop could significantly change the costs and timing associated with the development of that product candidate. We may never succeed in obtaining regulatory approval for any product candidates we may develop. In addition, given the uncertainties associated with the current geopolitical and economic and trade environment, our research and development expenses may increase in an unpredictable manner.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including salaries, benefits and stock-based compensation, for employees engaged in executive, finance and accounting, legal, and other administrative functions. General and administrative expenses also include professional fees for legal, patent, consulting, investor and public relations, human resources, and accounting and audit services as well as direct and allocated facility-related costs.</w:t>
      </w:r>
    </w:p>
    <w:p>
      <w:pPr>
        <w:spacing w:after="0" w:line="7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may increase in the future as we continue to support our continued research activities and development of our programs and platform. We also anticipate that we will continue to incur increased accounting, audit, legal, regulatory, compliance, director and officer insurance costs and investor and public relations expenses associated with operating as a public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consists of interest earned on our invested cash balances.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net consists of sublease income and miscellaneous expense unrelated to our core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2025, we had federal net operating loss carryforwards of $198.5 million, which may be available to offset future taxable income. The federal net operating loss can be carried forward indefinitely but are limited to offset 80% of annual taxable income. As of December 31, 2025, we also had U.S. federal and state research and development tax credit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carryforwards of $9.4 million and $3.7 million, respectively, which may be available to reduce future tax liabilities and expire at various dates beginning in 2043 and 2037, respectively. Due to our history of cumulative net losses since inception and uncertainties surrounding our ability to generate future taxable income, we have recorded a full valuation allowance against our net deferred tax assets at each balance sheet date. We do not expect to have taxable income in the current year.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0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are prepared in accordance with generally accepted accounting principles in the United States (“GAAP”). The preparation of our unaudited condensed consolidated financial statements and related disclosures requires us to make estimates and judgments that affect the reported amounts of assets, liabilities, revenue, costs and expenses and the disclosure of contingent assets and liabilities in our unaudited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8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consolidated financial statements in our Annual Report on Form 10-K for the fiscal year ended December 31, 2025 as well as elsewhere in this Quarterly Report on Form 10-Q, we believe that revenue recognition and accrued research and development expenses are those most critical to the judgments and estimates used in the preparation of our unaudited condensed consolidated financial statements. There have been no material changes to our critical accounting policies and estimates detailed in the C</w:t>
      </w:r>
      <w:r>
        <w:rPr>
          <w:rFonts w:ascii="Times New Roman" w:cs="Times New Roman" w:eastAsia="Times New Roman" w:hAnsi="Times New Roman"/>
          <w:sz w:val="18"/>
          <w:szCs w:val="18"/>
          <w:i w:val="1"/>
          <w:iCs w:val="1"/>
          <w:color w:val="auto"/>
        </w:rPr>
        <w:t>ritical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Estimates </w:t>
      </w:r>
      <w:r>
        <w:rPr>
          <w:rFonts w:ascii="Times New Roman" w:cs="Times New Roman" w:eastAsia="Times New Roman" w:hAnsi="Times New Roman"/>
          <w:sz w:val="18"/>
          <w:szCs w:val="18"/>
          <w:color w:val="auto"/>
        </w:rPr>
        <w:t>section of</w:t>
      </w:r>
      <w:r>
        <w:rPr>
          <w:rFonts w:ascii="Times New Roman" w:cs="Times New Roman" w:eastAsia="Times New Roman" w:hAnsi="Times New Roman"/>
          <w:sz w:val="18"/>
          <w:szCs w:val="18"/>
          <w:i w:val="1"/>
          <w:iCs w:val="1"/>
          <w:color w:val="auto"/>
        </w:rPr>
        <w:t xml:space="preserve"> Item 7. Management’s Discussion and Analysis of financial Condition and Results of Operations </w:t>
      </w:r>
      <w:r>
        <w:rPr>
          <w:rFonts w:ascii="Times New Roman" w:cs="Times New Roman" w:eastAsia="Times New Roman" w:hAnsi="Times New Roman"/>
          <w:sz w:val="18"/>
          <w:szCs w:val="18"/>
          <w:color w:val="auto"/>
        </w:rPr>
        <w:t>in our Annual Report on Form 10-K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fiscal year ended December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three months ended March 31, 2026 and 2025:</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7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0" w:type="dxa"/>
            <w:vAlign w:val="bottom"/>
          </w:tcPr>
          <w:p>
            <w:pPr>
              <w:spacing w:after="0"/>
              <w:rPr>
                <w:sz w:val="1"/>
                <w:szCs w:val="1"/>
                <w:color w:val="auto"/>
              </w:rPr>
            </w:pPr>
          </w:p>
        </w:tc>
      </w:tr>
      <w:tr>
        <w:trPr>
          <w:trHeight w:val="20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0" w:type="dxa"/>
            <w:vAlign w:val="bottom"/>
          </w:tcPr>
          <w:p>
            <w:pPr>
              <w:spacing w:after="0"/>
              <w:rPr>
                <w:sz w:val="1"/>
                <w:szCs w:val="1"/>
                <w:color w:val="auto"/>
              </w:rPr>
            </w:pPr>
          </w:p>
        </w:tc>
      </w:tr>
      <w:tr>
        <w:trPr>
          <w:trHeight w:val="21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other income, net</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 revenue was $3.3 million for the three months ended March 31, 2026, compared to $6.0 million for the three months ended March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collaboration revenue is attributed to the timing of work performed under the Lilly Collaboration Agreement.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three months ended March 31, 2026 and 2025:</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7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program expenses:</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FHD-286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Lilly partnered programs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Platform, research and discovery, and unallocated expenses: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Early development and other research external costs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0" w:type="dxa"/>
            <w:vAlign w:val="bottom"/>
          </w:tcPr>
          <w:p>
            <w:pPr>
              <w:spacing w:after="0"/>
              <w:rPr>
                <w:sz w:val="1"/>
                <w:szCs w:val="1"/>
                <w:color w:val="auto"/>
              </w:rPr>
            </w:pPr>
          </w:p>
        </w:tc>
      </w:tr>
      <w:tr>
        <w:trPr>
          <w:trHeight w:val="230"/>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Personnel related (including stock-based compensation)</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Facilities and IT related expenses and other</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0" w:type="dxa"/>
            <w:vAlign w:val="bottom"/>
          </w:tcPr>
          <w:p>
            <w:pPr>
              <w:spacing w:after="0"/>
              <w:rPr>
                <w:sz w:val="1"/>
                <w:szCs w:val="1"/>
                <w:color w:val="auto"/>
              </w:rPr>
            </w:pPr>
          </w:p>
        </w:tc>
      </w:tr>
      <w:tr>
        <w:trPr>
          <w:trHeight w:val="223"/>
        </w:trPr>
        <w:tc>
          <w:tcPr>
            <w:tcW w:w="7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were $18.3 million for the three months ended March 31, 2026, compared to $21.6 million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The decrease is attributed to the following:</w:t>
      </w:r>
    </w:p>
    <w:p>
      <w:pPr>
        <w:spacing w:after="0" w:line="99" w:lineRule="exact"/>
        <w:rPr>
          <w:sz w:val="20"/>
          <w:szCs w:val="20"/>
          <w:color w:val="auto"/>
        </w:rPr>
      </w:pPr>
    </w:p>
    <w:p>
      <w:pPr>
        <w:ind w:left="660" w:right="1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Lilly partnered programs of $2.3 million, primarily driven by the timing of certain costs related to the Phase 1 dose escalation study of FHD-909; and</w:t>
      </w:r>
    </w:p>
    <w:p>
      <w:pPr>
        <w:spacing w:after="0" w:line="53"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facilities and IT related expenses and other costs of $2.0 million primarily driven by a reduction in rent and building maintenance costs associated with the Company’s new office lease in Watertown, Massachusetts; and</w:t>
      </w:r>
    </w:p>
    <w:p>
      <w:pPr>
        <w:spacing w:after="0" w:line="53"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FHD-286 costs of $0.8 million due to the decision to discontinue both the independent development of FHD-286 in combination with decitabine in patients with relapsed and/or refractory AML, resulting in the shutdown of the Phase 1 clinical trial, and independent development of FHD-286 in patients with uveal melanoma; and</w:t>
      </w:r>
    </w:p>
    <w:p>
      <w:pPr>
        <w:spacing w:after="0" w:line="6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personnel related costs of $0.7 million, including a $0.2 million decrease in stock-based compensation expense, due to decreased headcount in our research and development function compared to prior period; partially offset by</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early development and other research external costs of $2.6 million, which was due to continued investment and development of our platform and early research pipeline.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three months ended March 31, 2026 and 2025:</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40" w:type="dxa"/>
            <w:vAlign w:val="bottom"/>
          </w:tcPr>
          <w:p>
            <w:pPr>
              <w:spacing w:after="0"/>
              <w:rPr>
                <w:sz w:val="16"/>
                <w:szCs w:val="16"/>
                <w:color w:val="auto"/>
              </w:rPr>
            </w:pPr>
          </w:p>
        </w:tc>
        <w:tc>
          <w:tcPr>
            <w:tcW w:w="284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1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714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related (including stock-based compensation)</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4,542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and consulting</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Facilities and IT related expenses and other</w:t>
            </w: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23"/>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8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6,581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$6.6 million for the three months ended March 31, 2026, compared to $7.2 million for the three months ended March 31, 2025. The decrease is primarily attributed to a decrease in facilities and IT related expenses and other costs of $0.5 million primarily driven by a reduction in rent and building maintenance costs associated with the Company’s new office lease in Watertown, Massachusetts.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Other income, net was $1.7 million for the three months ended March 31, 2026, compared to $4.1 million for the three months ended March 31, 2025. The decrease was primarily due to decreased sublease income due to the conclusion of the Company’s subleases in 2025 and decreased interest income due to a lower average balance of marketable securities period over period.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Since our inception in October 2015, we have incurred significant operating losses. We expect to incur significant expenses and operating losses for the foreseeable future as we support our continued research activities and development of our programs and platform. Through March 31, 2026, we have funded our operations with proceeds from our initial public offering (“IPO”) in October 2020, sales of preferred stock, term loans, an upfront payment of $15.0 million we received in July 2020 under the </w:t>
      </w:r>
      <w:r>
        <w:rPr>
          <w:rFonts w:ascii="Times New Roman" w:cs="Times New Roman" w:eastAsia="Times New Roman" w:hAnsi="Times New Roman"/>
          <w:sz w:val="19"/>
          <w:szCs w:val="19"/>
          <w:color w:val="auto"/>
        </w:rPr>
        <w:t>R</w:t>
      </w:r>
      <w:r>
        <w:rPr>
          <w:rFonts w:ascii="Times New Roman" w:cs="Times New Roman" w:eastAsia="Times New Roman" w:hAnsi="Times New Roman"/>
          <w:sz w:val="18"/>
          <w:szCs w:val="18"/>
          <w:color w:val="auto"/>
        </w:rPr>
        <w:t>esearch Collaboration and Exclusive License Agreement (the “Merck Collaboration Agreement”) with Merck Sharp &amp; Dohme Corp. (“Merck”), proceeds we received in December 2021 under the Lilly SPA of $80.0 million; an upfront payment of $300.0 million received in January 2022 under the Lilly Collaboration Agreement; a payment of $5.0 million received from Merck under the Merck Collaboration Agreement in the third quarter of 2022 for the achievement of a research milestone; net proceeds of $102.8 million, after deducting underwriting discounts, commissions and other offering expenses, from the May 2024 Offering; net proceeds from our ATM Facility of $0.5 million; and net proceeds of $49.7 million, after deducting offering costs of $0.3 million, from the January 2026 Offering. As of March 31, 2026, we had cash, cash equivalents and marketable securities of $183.6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4"/>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7"/>
                <w:szCs w:val="17"/>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(25,266)</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(23,968)</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29,401</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3"/>
        </w:trPr>
        <w:tc>
          <w:tcPr>
            <w:tcW w:w="8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6,787</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5,572</w:t>
            </w:r>
          </w:p>
        </w:tc>
      </w:tr>
      <w:tr>
        <w:trPr>
          <w:trHeight w:val="20"/>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operating activities used $25.3 million of cash, resulting from our net loss of $19.9 million to fund our operations and by changes in our operating assets and liabilities of $8.2 million partially offset by net non-cash charges of $2.8 million. Net cash used by changes in our operating assets and liabilities for the three months ended March 31, 2026 consisted primarily of a $5.5 million net decrease in working capital and a decrease of $3.3 million in deferred revenue resulting from the recognition of revenue on the upfront payments received in connection with the Lilly Collaboration Agreement partially offset by a $0.6 million increase in operating lease liabilities.</w:t>
      </w:r>
    </w:p>
    <w:p>
      <w:pPr>
        <w:spacing w:after="0" w:line="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2025, operating activities used $24.0 million of cash, resulting from our net loss of $18.8 million and by changes in our operating assets and liabilities of $9.3 million partially offset by net non-cash charges of $4.2 million. Net cash used by changes in our operating assets and liabilities for the three months ended March 31, 2025 consisted primarily of a $6.0 million decrease in deferred revenue resulting from the recognition of revenue on the upfront payments received in connection with the Lilly Collaboration Agreement, a $2.3 million decrease in operating lease liabilities and a $1.1 million net decrease in working capital.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net cash used in investing activities was $17.7 million consisting of $66.9 million of purchases of marketable securities partially offset by $49.2 million of marketable securities maturing.</w:t>
      </w:r>
    </w:p>
    <w:p>
      <w:pPr>
        <w:spacing w:after="0" w:line="5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net cash provided by investing activities was $29.4 million consisting of $80.6 million of marketable securities maturing partially offset by $51.1 million of purchases of marketable securities.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During the three months ended March 31, 2026, net cash provided by financing activities was $49.8 million consisting of net proceeds from the offering of our common stock, prefunded warrants, and series warrants of $49.7 million, after deducting offering costs that had been paid during the three months ended March 31, 2026 and net proceeds of $0.1 million from the exercise of common stock options and the 2020 Employee Stock Purchase Plan (“ESPP”).</w:t>
      </w:r>
    </w:p>
    <w:p>
      <w:pPr>
        <w:spacing w:after="0" w:line="5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net cash provided by financing activities was $0.1 million consisting of net proceeds from the exercise of common stock options and the ESPP.</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continue to fund on-going and potential future clinical activities, including the Phase 1 clinical trial of FHD-909 partnered with Lilly, advance preclinical activities, and initiate clinical trials for our product candidates in development, including those partnered with Lilly. As of the issuance date of the interim unaudited condensed consolidated financial statements included in this Quarterly Report, we expect that our cash, cash equivalents and marketable securities will be sufficient to fund our operating expenses and capital expenditure requirements for at least twelve months. We have based this estimate on assumptions that may prove to be inaccurate. We could use our available capital resources sooner than we currently expect, in which case we would be required to obtain additional financing sooner than planned, which may not be available to us on acceptable terms, or at all. Our failure to raise capital as and when needed would have a negative impact on our financial condition and our ability to pursue our long-term business strategy. We will be required to obtain further funding through public or private equity offerings, debt financings, collaborations and licensing arrangements or other sources.</w:t>
      </w:r>
    </w:p>
    <w:p>
      <w:pPr>
        <w:spacing w:after="0" w:line="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we are unable to raise sufficient capital as and when needed, we may be required to significantly curtail, delay or discontinue one or more of our research or development programs or the commercialization of any product candidate we may develop, or be unable to expand our operations or otherwise capitalize on our business opportunities. If we raise additional funds through collaborations or licensing arrangements with third parties, we may have to relinquish valuable rights to future revenue streams or product candidates or grant licenses on terms that may not be favorable to us.</w:t>
      </w:r>
    </w:p>
    <w:p>
      <w:pPr>
        <w:spacing w:after="0" w:line="7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See “Risk Factors” in our Annual Report on Form 10-K for the fiscal year ended December 31, 2025 for additional risks associated with our substantial capital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Securities and Exchange Commission.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to our unaudited condensed consolidated financial statements appearing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under the Securities Exchange Act of 1934, as amended, for this reporting period and are not required to provide the information required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Principal Executive Officer (our Chief Executive Officer) and Principal Accounting and Financial Officer (our Chief Financial Officer), has evaluated the effectiveness of our disclosure controls and procedures as of period end.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disclosure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2026, our Principal Executive Officer and Principal Financial Officer concluded that, as of such date, our disclosure controls and procedures were effective at the reasonable assurance level.</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three months ended March 31, 2026 that has materially affected, or is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For a discussion of potential risks or uncertainties, please see “Risk Factors” in our Annual Report on Form 10-K for the fiscal year ended December 31, 2025. There have been no material changes to the risk factors disclosed in our Annual Report on Form 10-K for the fiscal year ended December 31, 2025.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none of our directors or officers (as defined in Rule 16a-1(f) under the Securities Exchange Act of 1934, as amended) entered into, modified (as to amount, price or timing of trades) or terminated any “Rule 10b5-1 trading arrangements” or any “non-Rule 10b5-1 trading arrangements,” as such terms are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40" w:type="dxa"/>
            <w:vAlign w:val="bottom"/>
            <w:gridSpan w:val="6"/>
            <w:vMerge w:val="restart"/>
          </w:tcPr>
          <w:p>
            <w:pPr>
              <w:ind w:left="23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4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520" w:type="dxa"/>
            <w:vAlign w:val="bottom"/>
            <w:tcBorders>
              <w:top w:val="single" w:sz="8" w:color="auto"/>
            </w:tcBorders>
            <w:gridSpan w:val="3"/>
          </w:tcPr>
          <w:p>
            <w:pPr>
              <w:ind w:left="20"/>
              <w:spacing w:after="0" w:line="188"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560" w:type="dxa"/>
            <w:vAlign w:val="bottom"/>
            <w:tcBorders>
              <w:top w:val="single" w:sz="8" w:color="auto"/>
            </w:tcBorders>
            <w:gridSpan w:val="8"/>
          </w:tcPr>
          <w:p>
            <w:pPr>
              <w:spacing w:after="0" w:line="188"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as Adopted Pursuant to Section 302 of the Sarbanes-Oxley Act of 2002.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as Adopted Pursuant to Section 302 of the Sarbanes-Oxley Act of 2002.</w:t>
            </w:r>
          </w:p>
        </w:tc>
        <w:tc>
          <w:tcPr>
            <w:tcW w:w="1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2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6740" w:type="dxa"/>
            <w:vAlign w:val="bottom"/>
            <w:tcBorders>
              <w:top w:val="single" w:sz="8" w:color="0000FF"/>
            </w:tcBorders>
            <w:gridSpan w:val="3"/>
          </w:tcPr>
          <w:p>
            <w:pPr>
              <w:spacing w:after="0"/>
              <w:rPr>
                <w:sz w:val="13"/>
                <w:szCs w:val="13"/>
                <w:color w:val="auto"/>
              </w:rPr>
            </w:pPr>
          </w:p>
        </w:tc>
        <w:tc>
          <w:tcPr>
            <w:tcW w:w="7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7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21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74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19"/>
                <w:szCs w:val="19"/>
                <w:color w:val="auto"/>
              </w:rPr>
            </w:pPr>
          </w:p>
        </w:tc>
        <w:tc>
          <w:tcPr>
            <w:tcW w:w="95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95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95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95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0"/>
                <w:szCs w:val="20"/>
                <w:color w:val="auto"/>
              </w:rPr>
            </w:pPr>
          </w:p>
        </w:tc>
        <w:tc>
          <w:tcPr>
            <w:tcW w:w="95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310"/>
        </w:trPr>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______________</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right="9400" w:firstLine="8"/>
        <w:spacing w:after="0" w:line="250" w:lineRule="auto"/>
        <w:tabs>
          <w:tab w:leader="none" w:pos="48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 Furnished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 contract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7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FOGHORN THERAPEUTICS, INC.</w:t>
      </w:r>
    </w:p>
    <w:p>
      <w:pPr>
        <w:spacing w:after="0" w:line="81" w:lineRule="exact"/>
        <w:rPr>
          <w:sz w:val="20"/>
          <w:szCs w:val="20"/>
          <w:color w:val="auto"/>
        </w:rPr>
      </w:pPr>
    </w:p>
    <w:p>
      <w:pPr>
        <w:ind w:left="20"/>
        <w:spacing w:after="0"/>
        <w:tabs>
          <w:tab w:leader="none" w:pos="5640" w:val="left"/>
          <w:tab w:leader="none" w:pos="618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Ryan Maynard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1972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Ryan Maynard</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Accounting and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720"/>
          </w:cols>
          <w:pgMar w:left="320" w:top="121" w:right="85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Adrian Gottschalk, certify that:</w:t>
      </w:r>
    </w:p>
    <w:p>
      <w:pPr>
        <w:spacing w:after="0" w:line="225"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Foghorn Therapeutics Inc.;</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7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7"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486"/>
        <w:spacing w:after="0" w:line="266" w:lineRule="auto"/>
        <w:tabs>
          <w:tab w:leader="none" w:pos="97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486"/>
        <w:spacing w:after="0" w:line="282" w:lineRule="auto"/>
        <w:tabs>
          <w:tab w:leader="none" w:pos="97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88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Adrian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7343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Adrian Gottschalk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0119"/>
          </w:cols>
          <w:pgMar w:left="340" w:top="1242" w:right="1440"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Ryan Maynard, certify that:</w:t>
      </w:r>
    </w:p>
    <w:p>
      <w:pPr>
        <w:spacing w:after="0" w:line="225" w:lineRule="exact"/>
        <w:rPr>
          <w:sz w:val="20"/>
          <w:szCs w:val="20"/>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Foghorn Therapeutics Inc.;</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7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7"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486"/>
        <w:spacing w:after="0" w:line="266" w:lineRule="auto"/>
        <w:tabs>
          <w:tab w:leader="none" w:pos="97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486"/>
        <w:spacing w:after="0" w:line="282" w:lineRule="auto"/>
        <w:tabs>
          <w:tab w:leader="none" w:pos="97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88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Ryan Maynard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7343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 Maynard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Accounting and Financial Officer)</w:t>
      </w:r>
    </w:p>
    <w:p>
      <w:pPr>
        <w:sectPr>
          <w:pgSz w:w="11900" w:h="16838" w:orient="portrait"/>
          <w:cols w:equalWidth="0" w:num="1">
            <w:col w:w="10119"/>
          </w:cols>
          <w:pgMar w:left="340" w:top="1242" w:right="1440"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Foghorn Therapeutics Inc. (the “Company”) on Form 10-Q for the quarter ended March 31, 2026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820" w:hanging="488"/>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7, 2026</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Adrian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343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Adrian Gottschalk</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Foghorn Therapeutics Inc. (the “Company”) on Form 10-Q for the quarter ended March 31, 2026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820" w:hanging="488"/>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7, 2026</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Ryan Maynard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343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Ryan Maynard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Accounting and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2026-05-07T06:11:49Z</dcterms:created>
  <dcterms:modified xsi:type="dcterms:W3CDTF">2026-05-07T06:11:49Z</dcterms:modified>
</cp:coreProperties>
</file>