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Foghorn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3,164,410.00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3,164,410.00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3,164,410.00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3,164,410.00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3,164,410.00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3,164,410.00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2,218,382.00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2,218,382.00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2,218,382.00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II GP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2,218,382.00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2,218,382.00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2,218,382.00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402,467.00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402,467.00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402,467.00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402,467.00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402,467.00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402,467.00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5,382,792.00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5,382,792.00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5,382,792.00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5,866,613.00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5,866,613.00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5,866,613.00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INC/IL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5,866,613.00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5,866,613.00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5,866,613.00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LAMPERT MARK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20"/>
          </w:cols>
          <w:pgMar w:left="360" w:top="355" w:right="6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5,866,613.00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5,866,613.00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5,866,613.00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800"/>
          </w:cols>
          <w:pgMar w:left="360" w:top="355" w:right="6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Foghorn Therapeutics Inc.</w:t>
      </w:r>
    </w:p>
    <w:p>
      <w:pPr>
        <w:ind w:left="920" w:hanging="912"/>
        <w:spacing w:after="0" w:line="180" w:lineRule="auto"/>
        <w:tabs>
          <w:tab w:leader="none" w:pos="920" w:val="left"/>
        </w:tabs>
        <w:numPr>
          <w:ilvl w:val="0"/>
          <w:numId w:val="11"/>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Address of issuer's principal executive offices: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Biotechnology Value Fund, L.P. ("BVF") BVF I GP LLC ("BVF GP") Biotechnology Value Fund II, L.P. ("BVF2") BVF II GP LLC ("BVF2 GP") Biotechnology Value Trading Fund OS LP ("Trading Fund OS") BVF Partners OS</w:t>
      </w:r>
    </w:p>
    <w:p>
      <w:pPr>
        <w:sectPr>
          <w:pgSz w:w="11900" w:h="16838" w:orient="portrait"/>
          <w:cols w:equalWidth="0" w:num="1">
            <w:col w:w="10920"/>
          </w:cols>
          <w:pgMar w:left="360" w:top="355" w:right="619" w:bottom="0" w:gutter="0" w:footer="0" w:header="0"/>
          <w:type w:val="continuous"/>
        </w:sectPr>
      </w:pPr>
    </w:p>
    <w:bookmarkStart w:id="8" w:name="page9"/>
    <w:bookmarkEnd w:id="8"/>
    <w:p>
      <w:pPr>
        <w:ind w:left="920" w:right="680"/>
        <w:spacing w:after="0" w:line="244" w:lineRule="auto"/>
        <w:rPr>
          <w:sz w:val="20"/>
          <w:szCs w:val="20"/>
          <w:color w:val="auto"/>
        </w:rPr>
      </w:pPr>
      <w:r>
        <w:rPr>
          <w:rFonts w:ascii="Times New Roman" w:cs="Times New Roman" w:eastAsia="Times New Roman" w:hAnsi="Times New Roman"/>
          <w:sz w:val="22"/>
          <w:szCs w:val="22"/>
          <w:color w:val="auto"/>
        </w:rPr>
        <w:t>Ltd. ("Partners OS") BVF GP Holdings LLC ("BVF GPH") BVF Partners L.P. ("Partners") BVF Inc. Mark N. Lampert ("Mr. Lampert") Each of the foregoing is referred to as a "Reporting Person" and collectively as the "Reporting Persons."</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right="100"/>
        <w:spacing w:after="0" w:line="253" w:lineRule="auto"/>
        <w:rPr>
          <w:sz w:val="20"/>
          <w:szCs w:val="20"/>
          <w:color w:val="auto"/>
        </w:rPr>
      </w:pPr>
      <w:r>
        <w:rPr>
          <w:rFonts w:ascii="Times New Roman" w:cs="Times New Roman" w:eastAsia="Times New Roman" w:hAnsi="Times New Roman"/>
          <w:sz w:val="21"/>
          <w:szCs w:val="21"/>
          <w:color w:val="auto"/>
        </w:rPr>
        <w:t>Biotechnology Value Fund, L.P. 44 Montgomery St., 40th Floor San Francisco, California 94104 BVF I GP LLC 44 Montgomery St., 40th Floor San Francisco, California 94104 Biotechnology Value Fund II, L.P. 44 Montgomery St.,</w:t>
      </w:r>
    </w:p>
    <w:p>
      <w:pPr>
        <w:spacing w:after="0" w:line="1" w:lineRule="exact"/>
        <w:rPr>
          <w:sz w:val="20"/>
          <w:szCs w:val="20"/>
          <w:color w:val="auto"/>
        </w:rPr>
      </w:pPr>
    </w:p>
    <w:p>
      <w:pPr>
        <w:ind w:left="920" w:right="120" w:hanging="912"/>
        <w:spacing w:after="0" w:line="211"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 Citizenship:</w:t>
      </w:r>
    </w:p>
    <w:p>
      <w:pPr>
        <w:spacing w:after="0" w:line="204"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p>
      <w:pPr>
        <w:sectPr>
          <w:pgSz w:w="11900" w:h="16838" w:orient="portrait"/>
          <w:cols w:equalWidth="0" w:num="1">
            <w:col w:w="11120"/>
          </w:cols>
          <w:pgMar w:left="360" w:top="111"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close of business on March 31, 2026, the Reporting Persons and a certain Partners managed account (the "Partners Managed Account") held pre-funded warrants (the "Pre-Funded Warrants") exercisable for an aggregate of 6,050,782 Shares, subject to the Pre-Funded Warrants Blocker (as defined and described below). The Pre-Funded Warrants are exercisable immediately, do not expire, and have an exercise price of $0.0001 per Share. A holder of Pre-Funded Warrants shall not have the right to exercise any portion of the Pre-Funded Warrants pursuant to the terms and conditions thereof and any such exercise shall be null and void and treated as if never made to the extent that immediately prior to or after giving effect to such exercise, such holder together with the other Attribution Parties (as defined in the Form of Pre-Funded Warrant to Purchase Common Stock) collectively would beneficially own in excess of 9.99% of the number of Shares outstanding immediately after giving effect to such exercise (the "Pre-Funded Warrants Blocker"). As of the close of business on March 31, 2026, the Pre-Funded Warrants Blocker limits the exercise of the Pre-Funded Warrants by the Reporting Persons and the Partners Managed Account to 24,613 Shares out of 6,050,782 Shares underlying the Pre-Funded Warrants owned by them in the aggregate. As of the close of business on March 31, 2026, the Reporting Persons and the Partners Managed Account held Series 1 Warrants (the "Series 1 Warrants") exercisable for an aggregate of 1,862,891 Shares, and Series 2 Warrants (the "Series 2 Warrants", and together with the Series 1 Warrants, the "Series Warrants") exercisable for an aggregate of 1,862,891 Shares, subject to the Series Warrants Blocker (as defined and described below). The Series 1 Warrants are exercisable immediately, expire on June 30, 2027, and have an exercise price of $13.42 per Share. The Series 2 Warrants are exercisable immediately, expire on December 31, 2030, and have an exercise price of $20.13 per Share. Each holder of Series Warrants will be prohibited from exercising such Series Warrant if, as a result of such exercise, the holder, together with its affiliates, would own more than 9.99% of the total number of Shares then issued and</w:t>
      </w:r>
    </w:p>
    <w:p>
      <w:pPr>
        <w:sectPr>
          <w:pgSz w:w="11900" w:h="16838" w:orient="portrait"/>
          <w:cols w:equalWidth="0" w:num="1">
            <w:col w:w="11120"/>
          </w:cols>
          <w:pgMar w:left="360" w:top="111" w:right="419" w:bottom="0" w:gutter="0" w:footer="0" w:header="0"/>
          <w:type w:val="continuous"/>
        </w:sectPr>
      </w:pPr>
    </w:p>
    <w:bookmarkStart w:id="9" w:name="page10"/>
    <w:bookmarkEnd w:id="9"/>
    <w:p>
      <w:pPr>
        <w:spacing w:after="0" w:line="62"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outstanding (the "Series Warrants Blocker"), subject to certain limited adjustments. As of the close of business on March 31, 2026, the Series Warrants Blocker prohibits the exercise of all of the Series Warrants held by the Reporting Persons and in the Partners Managed Account. As of the close of business on March 31, 2026, (i) BVF beneficially owned 3,164,410 Shares, including 24,613 Shares underlying certain Pre-Funded Warrants held by it and excluding</w:t>
      </w:r>
    </w:p>
    <w:p>
      <w:pPr>
        <w:spacing w:after="0" w:line="2" w:lineRule="exact"/>
        <w:rPr>
          <w:sz w:val="20"/>
          <w:szCs w:val="20"/>
          <w:color w:val="auto"/>
        </w:rPr>
      </w:pPr>
    </w:p>
    <w:p>
      <w:pPr>
        <w:ind w:left="920" w:firstLine="6"/>
        <w:spacing w:after="0" w:line="242" w:lineRule="auto"/>
        <w:tabs>
          <w:tab w:leader="none" w:pos="121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3,187,985 Shares underlying certain Pre-Funded Warrants held by it, (b) 1,022,635 Shares underlying the Series 1 Warrants held by it, and (c) 1,022,635 Shares underlying the Series 2 Warrants held by it; (ii) BVF2 beneficially owned 2,218,382 Shares, excluding (a) 2,427,960 Shares underlying the Pre-Funded Warrants held by it, (b) 703,630 Shares underlying the Series 1 Warrants held by it, and (c) 703,630 Shares underlying the Series 2 Warrants held by it; and (iii) Trading Fund OS beneficially owned 402,467 Shares, excluding (a) 313,925 Shares underlying the Pre-Funded Warrants held by it, (b) 109,394 Shares underlying the Series 1 Warrants held by it, and (c) 109,394 Shares underlying the Series 2 Warrants held by it. BVF GP, as the general partner of BVF, may be deemed to beneficially own the 3,164,410 Shares beneficially owned by BVF. BVF2 GP, as the general partner of BVF2, may be deemed to beneficially own the 2,218,382 Shares beneficially owned by BVF2. Partners OS, as the general partner of Trading Fund OS, may be deemed to beneficially own the 402,467 Shares beneficially owned by Trading Fund OS. BVF GPH, as the sole member of each of BVF GP and BVF2 GP, may be deemed to beneficially own the 5,382,792 Shares beneficially owned in the aggregate by BVF and BVF2. Partners, as the investment manager of BVF, BVF2 and Trading Fund OS, and the sole member of Partners OS, may be deemed to beneficially own the 5,866,613 Shares beneficially owned in the aggregate by BVF, BVF2 and Trading Fund OS and held in the Partners Managed Account, including 81,354 Shares held in the Partners Managed Account, which excludes (a) 96,299 Shares underlying the Pre-Funded Warrants, (b) 27,232 Shares underlying certain Series 1 Warrants, and (c) 27,232 Shares underlying certain Series 2 Warrants held in the Partners Managed Account. BVF Inc., as the general partner of Partners, may be deemed to beneficially own the 5,866,613 Shares beneficially owned by Partners. Mr. Lampert, as a director and officer of BVF Inc., may be deemed to beneficially own the 5,866,613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260"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The following percentages are based upon a denominator that is the sum of (i) 58,700,246 Shares outstanding as of February 27, 2026, which is the total number of Shares outstanding as reported in the Issuer's Annual Report on Form 10-K filed with the Securities and Exchange Commission on March 11, 2026, and (ii) 24,613 Shares underlying the Pre-Funded Warrants held by the Reporting Persons that are currently exercisable, as applicable. As of the close of</w:t>
      </w:r>
    </w:p>
    <w:p>
      <w:pPr>
        <w:spacing w:after="0" w:line="2" w:lineRule="exact"/>
        <w:rPr>
          <w:sz w:val="20"/>
          <w:szCs w:val="20"/>
          <w:color w:val="auto"/>
        </w:rPr>
      </w:pPr>
    </w:p>
    <w:p>
      <w:pPr>
        <w:ind w:left="920" w:right="20" w:hanging="912"/>
        <w:spacing w:after="0" w:line="193" w:lineRule="auto"/>
        <w:tabs>
          <w:tab w:leader="none" w:pos="920" w:val="left"/>
        </w:tabs>
        <w:numPr>
          <w:ilvl w:val="0"/>
          <w:numId w:val="1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business on March 31, 2026, (i) BVF beneficially owned approximately 5.4% of the outstanding Shares, (ii) BVF2 beneficially owned approximately 3.8% of the outstanding Shares, (iii) Trading Fund OS beneficially owned less than 1% of the outstanding Shares, (iv) BVF GP may be deemed to beneficially own approximately 5.4% of the outstanding Shares, (v) BVF2 GP may be deemed to beneficially own approximately 3.8% of the outstanding Shares,</w:t>
      </w:r>
    </w:p>
    <w:p>
      <w:pPr>
        <w:spacing w:after="0" w:line="1" w:lineRule="exact"/>
        <w:rPr>
          <w:rFonts w:ascii="Times New Roman" w:cs="Times New Roman" w:eastAsia="Times New Roman" w:hAnsi="Times New Roman"/>
          <w:sz w:val="42"/>
          <w:szCs w:val="42"/>
          <w:color w:val="auto"/>
          <w:vertAlign w:val="subscript"/>
        </w:rPr>
      </w:pPr>
    </w:p>
    <w:p>
      <w:pPr>
        <w:jc w:val="both"/>
        <w:ind w:left="920" w:right="60" w:firstLine="6"/>
        <w:spacing w:after="0" w:line="234" w:lineRule="auto"/>
        <w:tabs>
          <w:tab w:leader="none" w:pos="128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OS may be deemed to beneficially own less than 1% of the outstanding Shares, (vii) BVF GPH may be deemed to beneficially own approximately 9.2% of the outstanding Shares, and (viii) each of Partners, BVF Inc. and Mr. Lampert may be deemed to beneficially own approximately 9.99% of the outstanding Shares (less than 1% of the outstanding Shares are held in the Partners Managed Account).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left="920" w:right="6240" w:firstLine="6"/>
        <w:spacing w:after="0" w:line="486" w:lineRule="auto"/>
        <w:tabs>
          <w:tab w:leader="none" w:pos="123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p>
      <w:pPr>
        <w:sectPr>
          <w:pgSz w:w="11900" w:h="16901" w:orient="portrait"/>
          <w:cols w:equalWidth="0" w:num="1">
            <w:col w:w="11140"/>
          </w:cols>
          <w:pgMar w:left="360" w:top="111" w:right="399" w:bottom="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20"/>
        <w:spacing w:after="0"/>
        <w:rPr>
          <w:sz w:val="20"/>
          <w:szCs w:val="20"/>
          <w:color w:val="auto"/>
        </w:rPr>
      </w:pPr>
      <w:r>
        <w:rPr>
          <w:rFonts w:ascii="Times New Roman" w:cs="Times New Roman" w:eastAsia="Times New Roman" w:hAnsi="Times New Roman"/>
          <w:sz w:val="22"/>
          <w:szCs w:val="22"/>
          <w:color w:val="auto"/>
        </w:rPr>
        <w:t>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See Exhibit 99.1 to the Schedule 13G filed by the Reporting Persons with the Securities and Exchange Commission on May 30, 2024.</w:t>
      </w: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BVF I GP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BVF II GP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BVF Partners OS Ltd.</w:t>
      </w:r>
    </w:p>
    <w:p>
      <w:pPr>
        <w:sectPr>
          <w:pgSz w:w="11900" w:h="16838" w:orient="portrait"/>
          <w:cols w:equalWidth="0" w:num="1">
            <w:col w:w="11140"/>
          </w:cols>
          <w:pgMar w:left="360" w:top="112" w:right="399" w:bottom="0" w:gutter="0" w:footer="0" w:header="0"/>
          <w:type w:val="continuous"/>
        </w:sectPr>
      </w:pPr>
    </w:p>
    <w:bookmarkStart w:id="11" w:name="page12"/>
    <w:bookmarkEnd w:id="11"/>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Name/Title: Mark N. Lampert, Authorized Signatory</w:t>
      </w:r>
    </w:p>
    <w:p>
      <w:pPr>
        <w:spacing w:after="0" w:line="56"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Name/Title: Mark N. Lampert, Authorized Signatory</w:t>
      </w:r>
    </w:p>
    <w:p>
      <w:pPr>
        <w:spacing w:after="0" w:line="56"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Name/Title: Mark N. Lampert, Authorized Signatory</w:t>
      </w:r>
    </w:p>
    <w:p>
      <w:pPr>
        <w:spacing w:after="0" w:line="56"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BVF INC/IL</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Name/Title: Mark N. Lampert, Authorized Signatory</w:t>
      </w:r>
    </w:p>
    <w:p>
      <w:pPr>
        <w:spacing w:after="0" w:line="56"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LAMPERT MARK N</w:t>
      </w:r>
    </w:p>
    <w:p>
      <w:pPr>
        <w:spacing w:after="0" w:line="152"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Name/Title: Mark N. Lampert</w:t>
      </w:r>
    </w:p>
    <w:p>
      <w:pPr>
        <w:spacing w:after="0" w:line="44"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5"/>
      <w:numFmt w:val="bullet"/>
      <w:start w:val="1"/>
    </w:lvl>
  </w:abstractNum>
  <w:abstractNum w:abstractNumId="3">
    <w:nsid w:val="1190CDE7"/>
    <w:multiLevelType w:val="hybridMultilevel"/>
    <w:lvl w:ilvl="0">
      <w:lvlJc w:val="left"/>
      <w:lvlText w:val="%1"/>
      <w:numFmt w:val="decimal"/>
      <w:start w:val="1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2"/>
      <w:numFmt w:val="bullet"/>
      <w:start w:val="1"/>
    </w:lvl>
  </w:abstractNum>
  <w:abstractNum w:abstractNumId="6">
    <w:nsid w:val="3352255A"/>
    <w:multiLevelType w:val="hybridMultilevel"/>
    <w:lvl w:ilvl="0">
      <w:lvlJc w:val="left"/>
      <w:lvlText w:val="3"/>
      <w:numFmt w:val="bullet"/>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1)"/>
      <w:numFmt w:val="lowerLetter"/>
      <w:start w:val="2"/>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1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2"/>
    </w:lvl>
    <w:lvl w:ilvl="1">
      <w:lvlJc w:val="left"/>
      <w:lvlText w:val="(%2)"/>
      <w:numFmt w:val="lowerRoman"/>
      <w:start w:val="6"/>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2026-05-15T15:23:32Z</dcterms:created>
  <dcterms:modified xsi:type="dcterms:W3CDTF">2026-05-15T15:23:32Z</dcterms:modified>
</cp:coreProperties>
</file>