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1920240</wp:posOffset>
            </wp:positionH>
            <wp:positionV relativeFrom="page">
              <wp:posOffset>2930525</wp:posOffset>
            </wp:positionV>
            <wp:extent cx="3703320" cy="930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703320" cy="930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Calibri" w:cs="Calibri" w:eastAsia="Calibri" w:hAnsi="Calibri"/>
          <w:sz w:val="43"/>
          <w:szCs w:val="43"/>
          <w:color w:val="636466"/>
        </w:rPr>
        <w:t>2025 Annual Report</w:t>
      </w:r>
    </w:p>
    <w:p>
      <w:pPr>
        <w:sectPr>
          <w:pgSz w:w="11880" w:h="15480" w:orient="portrait"/>
          <w:cols w:equalWidth="0" w:num="1">
            <w:col w:w="9000"/>
          </w:cols>
          <w:pgMar w:left="1440" w:top="1440" w:right="1440" w:bottom="1111"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30"/>
          <w:szCs w:val="30"/>
          <w:b w:val="1"/>
          <w:bCs w:val="1"/>
          <w:color w:val="454546"/>
        </w:rPr>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wp:posOffset>
                </wp:positionH>
                <wp:positionV relativeFrom="paragraph">
                  <wp:posOffset>-173990</wp:posOffset>
                </wp:positionV>
                <wp:extent cx="6515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3.6999pt" to="514.8pt,-13.6999pt" o:allowincell="f" strokecolor="#231F20" strokeweight="0.9599pt"/>
            </w:pict>
          </mc:Fallback>
        </mc:AlternateContent>
        <mc:AlternateContent>
          <mc:Choice Requires="wps">
            <w:drawing>
              <wp:anchor simplePos="0" relativeHeight="251657728" behindDoc="1" locked="0" layoutInCell="0" allowOverlap="1">
                <wp:simplePos x="0" y="0"/>
                <wp:positionH relativeFrom="column">
                  <wp:posOffset>22860</wp:posOffset>
                </wp:positionH>
                <wp:positionV relativeFrom="paragraph">
                  <wp:posOffset>-198120</wp:posOffset>
                </wp:positionV>
                <wp:extent cx="6515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5.5999pt" to="514.8pt,-15.5999pt" o:allowincell="f" strokecolor="#231F20" strokeweight="0.959pt"/>
            </w:pict>
          </mc:Fallback>
        </mc:AlternateContent>
      </w:r>
    </w:p>
    <w:p>
      <w:pPr>
        <w:spacing w:after="0" w:line="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454546"/>
        </w:rPr>
        <w:t>SECURITIES AND EXCHANGE COMMISSION</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54546"/>
        </w:rPr>
        <w:t>Washington, D.C. 20549</w:t>
      </w:r>
    </w:p>
    <w:p>
      <w:pPr>
        <w:spacing w:after="0" w:line="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4"/>
          <w:szCs w:val="4"/>
          <w:color w:val="454546"/>
        </w:rPr>
        <w:t>_____________________________________________________________________________________________________________________________</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454546"/>
        </w:rPr>
        <w:t>FORM 10-K</w:t>
      </w:r>
    </w:p>
    <w:p>
      <w:pPr>
        <w:spacing w:after="0" w:line="8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4"/>
          <w:szCs w:val="4"/>
          <w:color w:val="454546"/>
        </w:rPr>
        <w:t>_____________________________________________________________________________________________________________________________</w:t>
      </w:r>
    </w:p>
    <w:p>
      <w:pPr>
        <w:ind w:left="60"/>
        <w:spacing w:after="0"/>
        <w:rPr>
          <w:sz w:val="20"/>
          <w:szCs w:val="20"/>
          <w:color w:val="auto"/>
        </w:rPr>
      </w:pPr>
      <w:r>
        <w:rPr>
          <w:rFonts w:ascii="Times New Roman" w:cs="Times New Roman" w:eastAsia="Times New Roman" w:hAnsi="Times New Roman"/>
          <w:sz w:val="16"/>
          <w:szCs w:val="16"/>
          <w:b w:val="1"/>
          <w:bCs w:val="1"/>
          <w:color w:val="454546"/>
        </w:rPr>
        <w:t>(Mark One)</w:t>
      </w:r>
    </w:p>
    <w:p>
      <w:pPr>
        <w:spacing w:after="0" w:line="131" w:lineRule="exact"/>
        <w:rPr>
          <w:sz w:val="20"/>
          <w:szCs w:val="20"/>
          <w:color w:val="auto"/>
        </w:rPr>
      </w:pPr>
    </w:p>
    <w:p>
      <w:pPr>
        <w:ind w:left="460" w:hanging="409"/>
        <w:spacing w:after="0"/>
        <w:tabs>
          <w:tab w:leader="none" w:pos="460" w:val="left"/>
        </w:tabs>
        <w:numPr>
          <w:ilvl w:val="0"/>
          <w:numId w:val="1"/>
        </w:numPr>
        <w:rPr>
          <w:rFonts w:ascii="Wingdings" w:cs="Wingdings" w:eastAsia="Wingdings" w:hAnsi="Wingdings"/>
          <w:sz w:val="20"/>
          <w:szCs w:val="20"/>
          <w:color w:val="454546"/>
        </w:rPr>
      </w:pPr>
      <w:r>
        <w:rPr>
          <w:rFonts w:ascii="Times New Roman" w:cs="Times New Roman" w:eastAsia="Times New Roman" w:hAnsi="Times New Roman"/>
          <w:sz w:val="18"/>
          <w:szCs w:val="18"/>
          <w:b w:val="1"/>
          <w:bCs w:val="1"/>
          <w:color w:val="454546"/>
        </w:rPr>
        <w:t>ANNUAL REPORT PURSUANT TO SECTION 13 OR 15(d) OF THE SECURITIES EXCHANGE ACT OF 1934</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454546"/>
        </w:rPr>
        <w:t>For the fiscal year ended December 31, 2025</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454546"/>
        </w:rPr>
        <w:t>OR</w:t>
      </w:r>
    </w:p>
    <w:p>
      <w:pPr>
        <w:spacing w:after="0" w:line="27" w:lineRule="exact"/>
        <w:rPr>
          <w:sz w:val="20"/>
          <w:szCs w:val="20"/>
          <w:color w:val="auto"/>
        </w:rPr>
      </w:pPr>
    </w:p>
    <w:p>
      <w:pPr>
        <w:ind w:left="460" w:hanging="409"/>
        <w:spacing w:after="0"/>
        <w:tabs>
          <w:tab w:leader="none" w:pos="460" w:val="left"/>
        </w:tabs>
        <w:numPr>
          <w:ilvl w:val="0"/>
          <w:numId w:val="2"/>
        </w:numPr>
        <w:rPr>
          <w:rFonts w:ascii="Wingdings" w:cs="Wingdings" w:eastAsia="Wingdings" w:hAnsi="Wingdings"/>
          <w:sz w:val="20"/>
          <w:szCs w:val="20"/>
          <w:color w:val="454546"/>
        </w:rPr>
      </w:pPr>
      <w:r>
        <w:rPr>
          <w:rFonts w:ascii="Times New Roman" w:cs="Times New Roman" w:eastAsia="Times New Roman" w:hAnsi="Times New Roman"/>
          <w:sz w:val="18"/>
          <w:szCs w:val="18"/>
          <w:b w:val="1"/>
          <w:bCs w:val="1"/>
          <w:color w:val="454546"/>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54"/>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454546"/>
              </w:rPr>
              <w:t>For the transition period from</w:t>
            </w:r>
          </w:p>
        </w:tc>
        <w:tc>
          <w:tcPr>
            <w:tcW w:w="580" w:type="dxa"/>
            <w:vAlign w:val="bottom"/>
            <w:tcBorders>
              <w:bottom w:val="single" w:sz="8" w:color="231F20"/>
            </w:tcBorders>
          </w:tcPr>
          <w:p>
            <w:pPr>
              <w:spacing w:after="0"/>
              <w:rPr>
                <w:sz w:val="13"/>
                <w:szCs w:val="13"/>
                <w:color w:val="auto"/>
              </w:rPr>
            </w:pPr>
          </w:p>
        </w:tc>
        <w:tc>
          <w:tcPr>
            <w:tcW w:w="1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454546"/>
              </w:rPr>
              <w:t>to</w:t>
            </w:r>
          </w:p>
        </w:tc>
        <w:tc>
          <w:tcPr>
            <w:tcW w:w="560" w:type="dxa"/>
            <w:vAlign w:val="bottom"/>
            <w:tcBorders>
              <w:bottom w:val="single" w:sz="8" w:color="231F20"/>
            </w:tcBorders>
          </w:tcPr>
          <w:p>
            <w:pPr>
              <w:spacing w:after="0"/>
              <w:rPr>
                <w:sz w:val="13"/>
                <w:szCs w:val="13"/>
                <w:color w:val="auto"/>
              </w:rPr>
            </w:pPr>
          </w:p>
        </w:tc>
        <w:tc>
          <w:tcPr>
            <w:tcW w:w="720" w:type="dxa"/>
            <w:vAlign w:val="bottom"/>
            <w:gridSpan w:val="3"/>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gridSpan w:val="7"/>
          </w:tcPr>
          <w:p>
            <w:pPr>
              <w:jc w:val="center"/>
              <w:ind w:right="490"/>
              <w:spacing w:after="0"/>
              <w:rPr>
                <w:sz w:val="20"/>
                <w:szCs w:val="20"/>
                <w:color w:val="auto"/>
              </w:rPr>
            </w:pPr>
            <w:r>
              <w:rPr>
                <w:rFonts w:ascii="Times New Roman" w:cs="Times New Roman" w:eastAsia="Times New Roman" w:hAnsi="Times New Roman"/>
                <w:sz w:val="14"/>
                <w:szCs w:val="14"/>
                <w:b w:val="1"/>
                <w:bCs w:val="1"/>
                <w:color w:val="454546"/>
              </w:rPr>
              <w:t>Commission file number: 001-39634</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3580" w:type="dxa"/>
            <w:vAlign w:val="bottom"/>
            <w:gridSpan w:val="6"/>
          </w:tcPr>
          <w:p>
            <w:pPr>
              <w:jc w:val="center"/>
              <w:ind w:left="368"/>
              <w:spacing w:after="0"/>
              <w:rPr>
                <w:sz w:val="20"/>
                <w:szCs w:val="20"/>
                <w:color w:val="auto"/>
              </w:rPr>
            </w:pPr>
            <w:r>
              <w:rPr>
                <w:rFonts w:ascii="Times New Roman" w:cs="Times New Roman" w:eastAsia="Times New Roman" w:hAnsi="Times New Roman"/>
                <w:sz w:val="4"/>
                <w:szCs w:val="4"/>
                <w:color w:val="454546"/>
              </w:rPr>
              <w:t>_____________________________________________________________________________________________________________________________</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9"/>
        </w:trPr>
        <w:tc>
          <w:tcPr>
            <w:tcW w:w="7480" w:type="dxa"/>
            <w:vAlign w:val="bottom"/>
            <w:gridSpan w:val="10"/>
          </w:tcPr>
          <w:p>
            <w:pPr>
              <w:jc w:val="center"/>
              <w:ind w:left="2798"/>
              <w:spacing w:after="0"/>
              <w:rPr>
                <w:sz w:val="20"/>
                <w:szCs w:val="20"/>
                <w:color w:val="auto"/>
              </w:rPr>
            </w:pPr>
            <w:r>
              <w:rPr>
                <w:rFonts w:ascii="Times New Roman" w:cs="Times New Roman" w:eastAsia="Times New Roman" w:hAnsi="Times New Roman"/>
                <w:sz w:val="40"/>
                <w:szCs w:val="40"/>
                <w:b w:val="1"/>
                <w:bCs w:val="1"/>
                <w:color w:val="454546"/>
                <w:w w:val="99"/>
              </w:rPr>
              <w:t>Foghorn Therapeutics Inc.</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40" w:type="dxa"/>
            <w:vAlign w:val="bottom"/>
            <w:gridSpan w:val="7"/>
          </w:tcPr>
          <w:p>
            <w:pPr>
              <w:jc w:val="center"/>
              <w:ind w:right="490"/>
              <w:spacing w:after="0"/>
              <w:rPr>
                <w:sz w:val="20"/>
                <w:szCs w:val="20"/>
                <w:color w:val="auto"/>
              </w:rPr>
            </w:pPr>
            <w:r>
              <w:rPr>
                <w:rFonts w:ascii="Times New Roman" w:cs="Times New Roman" w:eastAsia="Times New Roman" w:hAnsi="Times New Roman"/>
                <w:sz w:val="14"/>
                <w:szCs w:val="14"/>
                <w:b w:val="1"/>
                <w:bCs w:val="1"/>
                <w:color w:val="454546"/>
                <w:w w:val="99"/>
              </w:rPr>
              <w:t>(Exact name of registrant as specified in its charter)</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3580" w:type="dxa"/>
            <w:vAlign w:val="bottom"/>
            <w:gridSpan w:val="6"/>
          </w:tcPr>
          <w:p>
            <w:pPr>
              <w:jc w:val="center"/>
              <w:ind w:left="368"/>
              <w:spacing w:after="0"/>
              <w:rPr>
                <w:sz w:val="20"/>
                <w:szCs w:val="20"/>
                <w:color w:val="auto"/>
              </w:rPr>
            </w:pPr>
            <w:r>
              <w:rPr>
                <w:rFonts w:ascii="Times New Roman" w:cs="Times New Roman" w:eastAsia="Times New Roman" w:hAnsi="Times New Roman"/>
                <w:sz w:val="4"/>
                <w:szCs w:val="4"/>
                <w:color w:val="454546"/>
              </w:rPr>
              <w:t>_____________________________________________________________________________________________________________________________</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318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454546"/>
                <w:w w:val="98"/>
              </w:rPr>
              <w:t>Delaware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jc w:val="right"/>
              <w:ind w:right="1809"/>
              <w:spacing w:after="0"/>
              <w:rPr>
                <w:sz w:val="20"/>
                <w:szCs w:val="20"/>
                <w:color w:val="auto"/>
              </w:rPr>
            </w:pPr>
            <w:r>
              <w:rPr>
                <w:rFonts w:ascii="Times New Roman" w:cs="Times New Roman" w:eastAsia="Times New Roman" w:hAnsi="Times New Roman"/>
                <w:sz w:val="14"/>
                <w:szCs w:val="14"/>
                <w:b w:val="1"/>
                <w:bCs w:val="1"/>
                <w:color w:val="454546"/>
              </w:rPr>
              <w:t>47-5271393</w:t>
            </w:r>
          </w:p>
        </w:tc>
        <w:tc>
          <w:tcPr>
            <w:tcW w:w="0" w:type="dxa"/>
            <w:vAlign w:val="bottom"/>
          </w:tcPr>
          <w:p>
            <w:pPr>
              <w:spacing w:after="0"/>
              <w:rPr>
                <w:sz w:val="1"/>
                <w:szCs w:val="1"/>
                <w:color w:val="auto"/>
              </w:rPr>
            </w:pPr>
          </w:p>
        </w:tc>
      </w:tr>
      <w:tr>
        <w:trPr>
          <w:trHeight w:val="218"/>
        </w:trPr>
        <w:tc>
          <w:tcPr>
            <w:tcW w:w="318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454546"/>
              </w:rPr>
              <w:t>(State or other jurisdiction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40" w:type="dxa"/>
            <w:vAlign w:val="bottom"/>
          </w:tcPr>
          <w:p>
            <w:pPr>
              <w:jc w:val="center"/>
              <w:ind w:right="1629"/>
              <w:spacing w:after="0"/>
              <w:rPr>
                <w:sz w:val="20"/>
                <w:szCs w:val="20"/>
                <w:color w:val="auto"/>
              </w:rPr>
            </w:pPr>
            <w:r>
              <w:rPr>
                <w:rFonts w:ascii="Times New Roman" w:cs="Times New Roman" w:eastAsia="Times New Roman" w:hAnsi="Times New Roman"/>
                <w:sz w:val="14"/>
                <w:szCs w:val="14"/>
                <w:b w:val="1"/>
                <w:bCs w:val="1"/>
                <w:color w:val="454546"/>
                <w:w w:val="98"/>
              </w:rPr>
              <w:t>(I.R.S. Employer</w:t>
            </w:r>
          </w:p>
        </w:tc>
        <w:tc>
          <w:tcPr>
            <w:tcW w:w="0" w:type="dxa"/>
            <w:vAlign w:val="bottom"/>
          </w:tcPr>
          <w:p>
            <w:pPr>
              <w:spacing w:after="0"/>
              <w:rPr>
                <w:sz w:val="1"/>
                <w:szCs w:val="1"/>
                <w:color w:val="auto"/>
              </w:rPr>
            </w:pPr>
          </w:p>
        </w:tc>
      </w:tr>
      <w:tr>
        <w:trPr>
          <w:trHeight w:val="190"/>
        </w:trPr>
        <w:tc>
          <w:tcPr>
            <w:tcW w:w="318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454546"/>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60" w:type="dxa"/>
            <w:vAlign w:val="bottom"/>
            <w:gridSpan w:val="2"/>
          </w:tcPr>
          <w:p>
            <w:pPr>
              <w:jc w:val="center"/>
              <w:ind w:right="1009"/>
              <w:spacing w:after="0"/>
              <w:rPr>
                <w:sz w:val="20"/>
                <w:szCs w:val="20"/>
                <w:color w:val="auto"/>
              </w:rPr>
            </w:pPr>
            <w:r>
              <w:rPr>
                <w:rFonts w:ascii="Times New Roman" w:cs="Times New Roman" w:eastAsia="Times New Roman" w:hAnsi="Times New Roman"/>
                <w:sz w:val="14"/>
                <w:szCs w:val="14"/>
                <w:b w:val="1"/>
                <w:bCs w:val="1"/>
                <w:color w:val="454546"/>
              </w:rPr>
              <w:t>Identification Number)</w:t>
            </w:r>
          </w:p>
        </w:tc>
        <w:tc>
          <w:tcPr>
            <w:tcW w:w="0" w:type="dxa"/>
            <w:vAlign w:val="bottom"/>
          </w:tcPr>
          <w:p>
            <w:pPr>
              <w:spacing w:after="0"/>
              <w:rPr>
                <w:sz w:val="1"/>
                <w:szCs w:val="1"/>
                <w:color w:val="auto"/>
              </w:rPr>
            </w:pPr>
          </w:p>
        </w:tc>
      </w:tr>
      <w:tr>
        <w:trPr>
          <w:trHeight w:val="261"/>
        </w:trPr>
        <w:tc>
          <w:tcPr>
            <w:tcW w:w="318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454546"/>
                <w:w w:val="99"/>
              </w:rPr>
              <w:t>99 Coolidge Avenue, Suite 500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740" w:type="dxa"/>
            <w:vAlign w:val="bottom"/>
            <w:vMerge w:val="restart"/>
          </w:tcPr>
          <w:p>
            <w:pPr>
              <w:jc w:val="right"/>
              <w:ind w:right="1969"/>
              <w:spacing w:after="0"/>
              <w:rPr>
                <w:sz w:val="20"/>
                <w:szCs w:val="20"/>
                <w:color w:val="auto"/>
              </w:rPr>
            </w:pPr>
            <w:r>
              <w:rPr>
                <w:rFonts w:ascii="Times New Roman" w:cs="Times New Roman" w:eastAsia="Times New Roman" w:hAnsi="Times New Roman"/>
                <w:sz w:val="14"/>
                <w:szCs w:val="14"/>
                <w:b w:val="1"/>
                <w:bCs w:val="1"/>
                <w:color w:val="454546"/>
              </w:rPr>
              <w:t>02472</w:t>
            </w:r>
          </w:p>
        </w:tc>
        <w:tc>
          <w:tcPr>
            <w:tcW w:w="0" w:type="dxa"/>
            <w:vAlign w:val="bottom"/>
          </w:tcPr>
          <w:p>
            <w:pPr>
              <w:spacing w:after="0"/>
              <w:rPr>
                <w:sz w:val="1"/>
                <w:szCs w:val="1"/>
                <w:color w:val="auto"/>
              </w:rPr>
            </w:pPr>
          </w:p>
        </w:tc>
      </w:tr>
      <w:tr>
        <w:trPr>
          <w:trHeight w:val="190"/>
        </w:trPr>
        <w:tc>
          <w:tcPr>
            <w:tcW w:w="318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454546"/>
                <w:w w:val="99"/>
              </w:rPr>
              <w:t>Watertown, Massachusetts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gridSpan w:val="5"/>
          </w:tcPr>
          <w:p>
            <w:pPr>
              <w:jc w:val="center"/>
              <w:ind w:right="1540"/>
              <w:spacing w:after="0"/>
              <w:rPr>
                <w:sz w:val="20"/>
                <w:szCs w:val="20"/>
                <w:color w:val="auto"/>
              </w:rPr>
            </w:pPr>
            <w:r>
              <w:rPr>
                <w:rFonts w:ascii="Times New Roman" w:cs="Times New Roman" w:eastAsia="Times New Roman" w:hAnsi="Times New Roman"/>
                <w:sz w:val="14"/>
                <w:szCs w:val="14"/>
                <w:b w:val="1"/>
                <w:bCs w:val="1"/>
                <w:color w:val="454546"/>
              </w:rPr>
              <w:t>(Address of principal executive offices)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40" w:type="dxa"/>
            <w:vAlign w:val="bottom"/>
          </w:tcPr>
          <w:p>
            <w:pPr>
              <w:jc w:val="center"/>
              <w:ind w:right="1629"/>
              <w:spacing w:after="0"/>
              <w:rPr>
                <w:sz w:val="20"/>
                <w:szCs w:val="20"/>
                <w:color w:val="auto"/>
              </w:rPr>
            </w:pPr>
            <w:r>
              <w:rPr>
                <w:rFonts w:ascii="Times New Roman" w:cs="Times New Roman" w:eastAsia="Times New Roman" w:hAnsi="Times New Roman"/>
                <w:sz w:val="14"/>
                <w:szCs w:val="14"/>
                <w:b w:val="1"/>
                <w:bCs w:val="1"/>
                <w:color w:val="454546"/>
                <w:w w:val="98"/>
              </w:rPr>
              <w:t>(Zip Code)</w:t>
            </w:r>
          </w:p>
        </w:tc>
        <w:tc>
          <w:tcPr>
            <w:tcW w:w="0" w:type="dxa"/>
            <w:vAlign w:val="bottom"/>
          </w:tcPr>
          <w:p>
            <w:pPr>
              <w:spacing w:after="0"/>
              <w:rPr>
                <w:sz w:val="1"/>
                <w:szCs w:val="1"/>
                <w:color w:val="auto"/>
              </w:rPr>
            </w:pPr>
          </w:p>
        </w:tc>
      </w:tr>
      <w:tr>
        <w:trPr>
          <w:trHeight w:val="225"/>
        </w:trPr>
        <w:tc>
          <w:tcPr>
            <w:tcW w:w="3180" w:type="dxa"/>
            <w:vAlign w:val="bottom"/>
          </w:tcPr>
          <w:p>
            <w:pPr>
              <w:spacing w:after="0"/>
              <w:rPr>
                <w:sz w:val="19"/>
                <w:szCs w:val="19"/>
                <w:color w:val="auto"/>
              </w:rPr>
            </w:pPr>
          </w:p>
        </w:tc>
        <w:tc>
          <w:tcPr>
            <w:tcW w:w="4300" w:type="dxa"/>
            <w:vAlign w:val="bottom"/>
            <w:gridSpan w:val="9"/>
          </w:tcPr>
          <w:p>
            <w:pPr>
              <w:jc w:val="center"/>
              <w:ind w:right="230"/>
              <w:spacing w:after="0"/>
              <w:rPr>
                <w:sz w:val="20"/>
                <w:szCs w:val="20"/>
                <w:color w:val="auto"/>
              </w:rPr>
            </w:pPr>
            <w:r>
              <w:rPr>
                <w:rFonts w:ascii="Times New Roman" w:cs="Times New Roman" w:eastAsia="Times New Roman" w:hAnsi="Times New Roman"/>
                <w:sz w:val="14"/>
                <w:szCs w:val="14"/>
                <w:b w:val="1"/>
                <w:bCs w:val="1"/>
                <w:color w:val="454546"/>
                <w:w w:val="99"/>
              </w:rPr>
              <w:t>Registrant’s telephone number, including area code: 617-586-3100</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40" w:type="dxa"/>
            <w:vAlign w:val="bottom"/>
            <w:gridSpan w:val="7"/>
          </w:tcPr>
          <w:p>
            <w:pPr>
              <w:jc w:val="center"/>
              <w:ind w:right="490"/>
              <w:spacing w:after="0"/>
              <w:rPr>
                <w:sz w:val="20"/>
                <w:szCs w:val="20"/>
                <w:color w:val="auto"/>
              </w:rPr>
            </w:pPr>
            <w:r>
              <w:rPr>
                <w:rFonts w:ascii="Times New Roman" w:cs="Times New Roman" w:eastAsia="Times New Roman" w:hAnsi="Times New Roman"/>
                <w:sz w:val="14"/>
                <w:szCs w:val="14"/>
                <w:b w:val="1"/>
                <w:bCs w:val="1"/>
                <w:color w:val="454546"/>
              </w:rPr>
              <w:t>Securities registered pursuant to Section 12(b) of the Act:</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3180" w:type="dxa"/>
            <w:vAlign w:val="bottom"/>
          </w:tcPr>
          <w:p>
            <w:pPr>
              <w:jc w:val="center"/>
              <w:ind w:left="98"/>
              <w:spacing w:after="0"/>
              <w:rPr>
                <w:sz w:val="20"/>
                <w:szCs w:val="20"/>
                <w:color w:val="auto"/>
              </w:rPr>
            </w:pPr>
            <w:r>
              <w:rPr>
                <w:rFonts w:ascii="Times New Roman" w:cs="Times New Roman" w:eastAsia="Times New Roman" w:hAnsi="Times New Roman"/>
                <w:sz w:val="14"/>
                <w:szCs w:val="14"/>
                <w:b w:val="1"/>
                <w:bCs w:val="1"/>
                <w:color w:val="454546"/>
                <w:w w:val="98"/>
              </w:rPr>
              <w:t>Title of each class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454546"/>
                <w:w w:val="99"/>
              </w:rPr>
              <w:t>Trading Symbol(s)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454546"/>
              </w:rPr>
              <w:t>Name of each exchange on which registered</w:t>
            </w:r>
          </w:p>
        </w:tc>
        <w:tc>
          <w:tcPr>
            <w:tcW w:w="0" w:type="dxa"/>
            <w:vAlign w:val="bottom"/>
          </w:tcPr>
          <w:p>
            <w:pPr>
              <w:spacing w:after="0"/>
              <w:rPr>
                <w:sz w:val="1"/>
                <w:szCs w:val="1"/>
                <w:color w:val="auto"/>
              </w:rPr>
            </w:pPr>
          </w:p>
        </w:tc>
      </w:tr>
      <w:tr>
        <w:trPr>
          <w:trHeight w:val="33"/>
        </w:trPr>
        <w:tc>
          <w:tcPr>
            <w:tcW w:w="31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580" w:type="dxa"/>
            <w:vAlign w:val="bottom"/>
            <w:tcBorders>
              <w:bottom w:val="single" w:sz="8" w:color="231F20"/>
            </w:tcBorders>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7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80" w:type="dxa"/>
            <w:vAlign w:val="bottom"/>
          </w:tcPr>
          <w:p>
            <w:pPr>
              <w:jc w:val="center"/>
              <w:ind w:left="98"/>
              <w:spacing w:after="0"/>
              <w:rPr>
                <w:sz w:val="20"/>
                <w:szCs w:val="20"/>
                <w:color w:val="auto"/>
              </w:rPr>
            </w:pPr>
            <w:r>
              <w:rPr>
                <w:rFonts w:ascii="Times New Roman" w:cs="Times New Roman" w:eastAsia="Times New Roman" w:hAnsi="Times New Roman"/>
                <w:sz w:val="16"/>
                <w:szCs w:val="16"/>
                <w:b w:val="1"/>
                <w:bCs w:val="1"/>
                <w:color w:val="454546"/>
                <w:w w:val="99"/>
              </w:rPr>
              <w:t>Common Stock, $0.0001 Par Value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2"/>
          </w:tcPr>
          <w:p>
            <w:pPr>
              <w:jc w:val="center"/>
              <w:ind w:left="689"/>
              <w:spacing w:after="0"/>
              <w:rPr>
                <w:sz w:val="20"/>
                <w:szCs w:val="20"/>
                <w:color w:val="auto"/>
              </w:rPr>
            </w:pPr>
            <w:r>
              <w:rPr>
                <w:rFonts w:ascii="Times New Roman" w:cs="Times New Roman" w:eastAsia="Times New Roman" w:hAnsi="Times New Roman"/>
                <w:sz w:val="16"/>
                <w:szCs w:val="16"/>
                <w:b w:val="1"/>
                <w:bCs w:val="1"/>
                <w:color w:val="454546"/>
              </w:rPr>
              <w:t>FHTX</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454546"/>
              </w:rPr>
              <w:t>The Nasdaq Global Market</w:t>
            </w: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40" w:type="dxa"/>
            <w:vAlign w:val="bottom"/>
            <w:gridSpan w:val="7"/>
          </w:tcPr>
          <w:p>
            <w:pPr>
              <w:jc w:val="center"/>
              <w:ind w:right="490"/>
              <w:spacing w:after="0"/>
              <w:rPr>
                <w:sz w:val="20"/>
                <w:szCs w:val="20"/>
                <w:color w:val="auto"/>
              </w:rPr>
            </w:pPr>
            <w:r>
              <w:rPr>
                <w:rFonts w:ascii="Times New Roman" w:cs="Times New Roman" w:eastAsia="Times New Roman" w:hAnsi="Times New Roman"/>
                <w:sz w:val="14"/>
                <w:szCs w:val="14"/>
                <w:b w:val="1"/>
                <w:bCs w:val="1"/>
                <w:color w:val="454546"/>
                <w:w w:val="99"/>
              </w:rPr>
              <w:t>Securities registered pursuant to Section 12(g) of the Act:</w:t>
            </w: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2"/>
          </w:tcPr>
          <w:p>
            <w:pPr>
              <w:jc w:val="center"/>
              <w:ind w:left="829"/>
              <w:spacing w:after="0" w:line="154" w:lineRule="exact"/>
              <w:rPr>
                <w:sz w:val="20"/>
                <w:szCs w:val="20"/>
                <w:color w:val="auto"/>
              </w:rPr>
            </w:pPr>
            <w:r>
              <w:rPr>
                <w:rFonts w:ascii="Times New Roman" w:cs="Times New Roman" w:eastAsia="Times New Roman" w:hAnsi="Times New Roman"/>
                <w:sz w:val="14"/>
                <w:szCs w:val="14"/>
                <w:b w:val="1"/>
                <w:bCs w:val="1"/>
                <w:color w:val="454546"/>
              </w:rPr>
              <w:t>None</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3180" w:type="dxa"/>
            <w:vAlign w:val="bottom"/>
          </w:tcPr>
          <w:p>
            <w:pPr>
              <w:spacing w:after="0"/>
              <w:rPr>
                <w:sz w:val="23"/>
                <w:szCs w:val="23"/>
                <w:color w:val="auto"/>
              </w:rPr>
            </w:pPr>
          </w:p>
        </w:tc>
        <w:tc>
          <w:tcPr>
            <w:tcW w:w="3580" w:type="dxa"/>
            <w:vAlign w:val="bottom"/>
            <w:gridSpan w:val="6"/>
          </w:tcPr>
          <w:p>
            <w:pPr>
              <w:jc w:val="center"/>
              <w:ind w:left="348"/>
              <w:spacing w:after="0"/>
              <w:rPr>
                <w:sz w:val="20"/>
                <w:szCs w:val="20"/>
                <w:color w:val="auto"/>
              </w:rPr>
            </w:pPr>
            <w:r>
              <w:rPr>
                <w:rFonts w:ascii="Times New Roman" w:cs="Times New Roman" w:eastAsia="Times New Roman" w:hAnsi="Times New Roman"/>
                <w:sz w:val="20"/>
                <w:szCs w:val="20"/>
                <w:color w:val="454546"/>
                <w:w w:val="99"/>
              </w:rPr>
              <w:t>_________________________</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480" w:type="dxa"/>
            <w:vAlign w:val="bottom"/>
            <w:gridSpan w:val="10"/>
          </w:tcPr>
          <w:p>
            <w:pPr>
              <w:ind w:left="780"/>
              <w:spacing w:after="0"/>
              <w:rPr>
                <w:sz w:val="20"/>
                <w:szCs w:val="20"/>
                <w:color w:val="auto"/>
              </w:rPr>
            </w:pPr>
            <w:r>
              <w:rPr>
                <w:rFonts w:ascii="Times New Roman" w:cs="Times New Roman" w:eastAsia="Times New Roman" w:hAnsi="Times New Roman"/>
                <w:sz w:val="14"/>
                <w:szCs w:val="14"/>
                <w:color w:val="454546"/>
              </w:rPr>
              <w:t>Indicate by check mark if the registrant is a well-known seasoned issuer, as defined in Rule 405 of the Securities Act.</w:t>
            </w:r>
          </w:p>
        </w:tc>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454546"/>
              </w:rPr>
              <w:t xml:space="preserve">Yes  </w:t>
            </w:r>
            <w:r>
              <w:rPr>
                <w:rFonts w:ascii="Wingdings" w:cs="Wingdings" w:eastAsia="Wingdings" w:hAnsi="Wingdings"/>
                <w:sz w:val="14"/>
                <w:szCs w:val="14"/>
                <w:color w:val="454546"/>
              </w:rPr>
              <w:t></w:t>
            </w:r>
            <w:r>
              <w:rPr>
                <w:rFonts w:ascii="Times New Roman" w:cs="Times New Roman" w:eastAsia="Times New Roman" w:hAnsi="Times New Roman"/>
                <w:sz w:val="14"/>
                <w:szCs w:val="14"/>
                <w:color w:val="454546"/>
              </w:rPr>
              <w:t xml:space="preserve"> No </w:t>
            </w:r>
            <w:r>
              <w:rPr>
                <w:rFonts w:ascii="Wingdings" w:cs="Wingdings" w:eastAsia="Wingdings" w:hAnsi="Wingdings"/>
                <w:sz w:val="14"/>
                <w:szCs w:val="14"/>
                <w:color w:val="454546"/>
              </w:rPr>
              <w:t></w:t>
            </w:r>
          </w:p>
        </w:tc>
        <w:tc>
          <w:tcPr>
            <w:tcW w:w="0" w:type="dxa"/>
            <w:vAlign w:val="bottom"/>
          </w:tcPr>
          <w:p>
            <w:pPr>
              <w:spacing w:after="0"/>
              <w:rPr>
                <w:sz w:val="1"/>
                <w:szCs w:val="1"/>
                <w:color w:val="auto"/>
              </w:rPr>
            </w:pPr>
          </w:p>
        </w:tc>
      </w:tr>
      <w:tr>
        <w:trPr>
          <w:trHeight w:val="230"/>
        </w:trPr>
        <w:tc>
          <w:tcPr>
            <w:tcW w:w="7480" w:type="dxa"/>
            <w:vAlign w:val="bottom"/>
            <w:gridSpan w:val="10"/>
          </w:tcPr>
          <w:p>
            <w:pPr>
              <w:ind w:left="780"/>
              <w:spacing w:after="0"/>
              <w:rPr>
                <w:sz w:val="20"/>
                <w:szCs w:val="20"/>
                <w:color w:val="auto"/>
              </w:rPr>
            </w:pPr>
            <w:r>
              <w:rPr>
                <w:rFonts w:ascii="Times New Roman" w:cs="Times New Roman" w:eastAsia="Times New Roman" w:hAnsi="Times New Roman"/>
                <w:sz w:val="14"/>
                <w:szCs w:val="14"/>
                <w:color w:val="454546"/>
                <w:w w:val="99"/>
              </w:rPr>
              <w:t>Indicate by check mark if the registrant is not required to file reports pursuant to Section 13 or Section 15(d) of the Act.</w:t>
            </w:r>
          </w:p>
        </w:tc>
        <w:tc>
          <w:tcPr>
            <w:tcW w:w="2740" w:type="dxa"/>
            <w:vAlign w:val="bottom"/>
          </w:tcPr>
          <w:p>
            <w:pPr>
              <w:ind w:left="140"/>
              <w:spacing w:after="0"/>
              <w:rPr>
                <w:sz w:val="20"/>
                <w:szCs w:val="20"/>
                <w:color w:val="auto"/>
              </w:rPr>
            </w:pPr>
            <w:r>
              <w:rPr>
                <w:rFonts w:ascii="Times New Roman" w:cs="Times New Roman" w:eastAsia="Times New Roman" w:hAnsi="Times New Roman"/>
                <w:sz w:val="14"/>
                <w:szCs w:val="14"/>
                <w:color w:val="454546"/>
              </w:rPr>
              <w:t xml:space="preserve">Yes </w:t>
            </w:r>
            <w:r>
              <w:rPr>
                <w:rFonts w:ascii="Wingdings" w:cs="Wingdings" w:eastAsia="Wingdings" w:hAnsi="Wingdings"/>
                <w:sz w:val="14"/>
                <w:szCs w:val="14"/>
                <w:color w:val="454546"/>
              </w:rPr>
              <w:t></w:t>
            </w:r>
            <w:r>
              <w:rPr>
                <w:rFonts w:ascii="Times New Roman" w:cs="Times New Roman" w:eastAsia="Times New Roman" w:hAnsi="Times New Roman"/>
                <w:sz w:val="14"/>
                <w:szCs w:val="14"/>
                <w:color w:val="454546"/>
              </w:rPr>
              <w:t xml:space="preserve"> No </w:t>
            </w:r>
            <w:r>
              <w:rPr>
                <w:rFonts w:ascii="Wingdings" w:cs="Wingdings" w:eastAsia="Wingdings" w:hAnsi="Wingdings"/>
                <w:sz w:val="14"/>
                <w:szCs w:val="14"/>
                <w:color w:val="454546"/>
              </w:rPr>
              <w:t></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0" w:right="420" w:firstLine="720"/>
        <w:spacing w:after="0" w:line="269" w:lineRule="auto"/>
        <w:rPr>
          <w:sz w:val="20"/>
          <w:szCs w:val="20"/>
          <w:color w:val="auto"/>
        </w:rPr>
      </w:pPr>
      <w:r>
        <w:rPr>
          <w:rFonts w:ascii="Times New Roman" w:cs="Times New Roman" w:eastAsia="Times New Roman" w:hAnsi="Times New Roman"/>
          <w:sz w:val="14"/>
          <w:szCs w:val="14"/>
          <w:color w:val="45454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color w:val="454546"/>
        </w:rPr>
        <w:t></w:t>
      </w:r>
      <w:r>
        <w:rPr>
          <w:rFonts w:ascii="Times New Roman" w:cs="Times New Roman" w:eastAsia="Times New Roman" w:hAnsi="Times New Roman"/>
          <w:sz w:val="14"/>
          <w:szCs w:val="14"/>
          <w:color w:val="454546"/>
        </w:rPr>
        <w:t xml:space="preserve"> No </w:t>
      </w:r>
      <w:r>
        <w:rPr>
          <w:rFonts w:ascii="Wingdings" w:cs="Wingdings" w:eastAsia="Wingdings" w:hAnsi="Wingdings"/>
          <w:sz w:val="14"/>
          <w:szCs w:val="14"/>
          <w:color w:val="454546"/>
        </w:rPr>
        <w:t></w:t>
      </w:r>
    </w:p>
    <w:p>
      <w:pPr>
        <w:spacing w:after="0" w:line="23" w:lineRule="exact"/>
        <w:rPr>
          <w:sz w:val="20"/>
          <w:szCs w:val="20"/>
          <w:color w:val="auto"/>
        </w:rPr>
      </w:pPr>
    </w:p>
    <w:p>
      <w:pPr>
        <w:ind w:left="60" w:right="180" w:firstLine="720"/>
        <w:spacing w:after="0" w:line="287" w:lineRule="auto"/>
        <w:rPr>
          <w:sz w:val="20"/>
          <w:szCs w:val="20"/>
          <w:color w:val="auto"/>
        </w:rPr>
      </w:pPr>
      <w:r>
        <w:rPr>
          <w:rFonts w:ascii="Times New Roman" w:cs="Times New Roman" w:eastAsia="Times New Roman" w:hAnsi="Times New Roman"/>
          <w:sz w:val="14"/>
          <w:szCs w:val="14"/>
          <w:color w:val="45454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color w:val="454546"/>
        </w:rPr>
        <w:t></w:t>
      </w:r>
      <w:r>
        <w:rPr>
          <w:rFonts w:ascii="Times New Roman" w:cs="Times New Roman" w:eastAsia="Times New Roman" w:hAnsi="Times New Roman"/>
          <w:sz w:val="14"/>
          <w:szCs w:val="14"/>
          <w:color w:val="454546"/>
        </w:rPr>
        <w:t xml:space="preserve"> No </w:t>
      </w:r>
      <w:r>
        <w:rPr>
          <w:rFonts w:ascii="Wingdings" w:cs="Wingdings" w:eastAsia="Wingdings" w:hAnsi="Wingdings"/>
          <w:sz w:val="14"/>
          <w:szCs w:val="14"/>
          <w:color w:val="454546"/>
        </w:rPr>
        <w:t></w:t>
      </w:r>
    </w:p>
    <w:p>
      <w:pPr>
        <w:spacing w:after="0" w:line="11" w:lineRule="exact"/>
        <w:rPr>
          <w:sz w:val="20"/>
          <w:szCs w:val="20"/>
          <w:color w:val="auto"/>
        </w:rPr>
      </w:pPr>
    </w:p>
    <w:p>
      <w:pPr>
        <w:ind w:left="60" w:right="40" w:firstLine="720"/>
        <w:spacing w:after="0" w:line="328" w:lineRule="auto"/>
        <w:rPr>
          <w:sz w:val="20"/>
          <w:szCs w:val="20"/>
          <w:color w:val="auto"/>
        </w:rPr>
      </w:pPr>
      <w:r>
        <w:rPr>
          <w:rFonts w:ascii="Times New Roman" w:cs="Times New Roman" w:eastAsia="Times New Roman" w:hAnsi="Times New Roman"/>
          <w:sz w:val="13"/>
          <w:szCs w:val="13"/>
          <w:color w:val="45454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01"/>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454546"/>
              </w:rPr>
              <w:t>Large accelerated filer</w:t>
            </w:r>
          </w:p>
        </w:tc>
        <w:tc>
          <w:tcPr>
            <w:tcW w:w="3380" w:type="dxa"/>
            <w:vAlign w:val="bottom"/>
          </w:tcPr>
          <w:p>
            <w:pPr>
              <w:ind w:left="360"/>
              <w:spacing w:after="0"/>
              <w:rPr>
                <w:sz w:val="20"/>
                <w:szCs w:val="20"/>
                <w:color w:val="auto"/>
              </w:rPr>
            </w:pPr>
            <w:r>
              <w:rPr>
                <w:rFonts w:ascii="Wingdings" w:cs="Wingdings" w:eastAsia="Wingdings" w:hAnsi="Wingdings"/>
                <w:sz w:val="14"/>
                <w:szCs w:val="14"/>
                <w:color w:val="454546"/>
              </w:rPr>
              <w:t></w:t>
            </w:r>
          </w:p>
        </w:tc>
        <w:tc>
          <w:tcPr>
            <w:tcW w:w="4620" w:type="dxa"/>
            <w:vAlign w:val="bottom"/>
          </w:tcPr>
          <w:p>
            <w:pPr>
              <w:ind w:left="2860"/>
              <w:spacing w:after="0"/>
              <w:rPr>
                <w:sz w:val="20"/>
                <w:szCs w:val="20"/>
                <w:color w:val="auto"/>
              </w:rPr>
            </w:pPr>
            <w:r>
              <w:rPr>
                <w:rFonts w:ascii="Times New Roman" w:cs="Times New Roman" w:eastAsia="Times New Roman" w:hAnsi="Times New Roman"/>
                <w:sz w:val="14"/>
                <w:szCs w:val="14"/>
                <w:color w:val="454546"/>
              </w:rPr>
              <w:t>Accelerated filer</w:t>
            </w:r>
          </w:p>
        </w:tc>
        <w:tc>
          <w:tcPr>
            <w:tcW w:w="380" w:type="dxa"/>
            <w:vAlign w:val="bottom"/>
          </w:tcPr>
          <w:p>
            <w:pPr>
              <w:ind w:left="220"/>
              <w:spacing w:after="0"/>
              <w:rPr>
                <w:sz w:val="20"/>
                <w:szCs w:val="20"/>
                <w:color w:val="auto"/>
              </w:rPr>
            </w:pPr>
            <w:r>
              <w:rPr>
                <w:rFonts w:ascii="Wingdings" w:cs="Wingdings" w:eastAsia="Wingdings" w:hAnsi="Wingdings"/>
                <w:sz w:val="14"/>
                <w:szCs w:val="14"/>
                <w:color w:val="454546"/>
              </w:rPr>
              <w:t></w:t>
            </w:r>
          </w:p>
        </w:tc>
      </w:tr>
      <w:tr>
        <w:trPr>
          <w:trHeight w:val="316"/>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454546"/>
              </w:rPr>
              <w:t>Non-accelerated filer</w:t>
            </w:r>
          </w:p>
        </w:tc>
        <w:tc>
          <w:tcPr>
            <w:tcW w:w="3380" w:type="dxa"/>
            <w:vAlign w:val="bottom"/>
          </w:tcPr>
          <w:p>
            <w:pPr>
              <w:ind w:left="360"/>
              <w:spacing w:after="0"/>
              <w:rPr>
                <w:sz w:val="20"/>
                <w:szCs w:val="20"/>
                <w:color w:val="auto"/>
              </w:rPr>
            </w:pPr>
            <w:r>
              <w:rPr>
                <w:rFonts w:ascii="Wingdings" w:cs="Wingdings" w:eastAsia="Wingdings" w:hAnsi="Wingdings"/>
                <w:sz w:val="14"/>
                <w:szCs w:val="14"/>
                <w:color w:val="454546"/>
              </w:rPr>
              <w:t></w:t>
            </w:r>
          </w:p>
        </w:tc>
        <w:tc>
          <w:tcPr>
            <w:tcW w:w="4620" w:type="dxa"/>
            <w:vAlign w:val="bottom"/>
          </w:tcPr>
          <w:p>
            <w:pPr>
              <w:ind w:left="2860"/>
              <w:spacing w:after="0"/>
              <w:rPr>
                <w:sz w:val="20"/>
                <w:szCs w:val="20"/>
                <w:color w:val="auto"/>
              </w:rPr>
            </w:pPr>
            <w:r>
              <w:rPr>
                <w:rFonts w:ascii="Times New Roman" w:cs="Times New Roman" w:eastAsia="Times New Roman" w:hAnsi="Times New Roman"/>
                <w:sz w:val="14"/>
                <w:szCs w:val="14"/>
                <w:color w:val="454546"/>
              </w:rPr>
              <w:t>Smaller reporting company</w:t>
            </w:r>
          </w:p>
        </w:tc>
        <w:tc>
          <w:tcPr>
            <w:tcW w:w="380" w:type="dxa"/>
            <w:vAlign w:val="bottom"/>
          </w:tcPr>
          <w:p>
            <w:pPr>
              <w:ind w:left="220"/>
              <w:spacing w:after="0"/>
              <w:rPr>
                <w:sz w:val="20"/>
                <w:szCs w:val="20"/>
                <w:color w:val="auto"/>
              </w:rPr>
            </w:pPr>
            <w:r>
              <w:rPr>
                <w:rFonts w:ascii="Wingdings" w:cs="Wingdings" w:eastAsia="Wingdings" w:hAnsi="Wingdings"/>
                <w:sz w:val="14"/>
                <w:szCs w:val="14"/>
                <w:color w:val="454546"/>
                <w:w w:val="94"/>
              </w:rPr>
              <w:t></w:t>
            </w:r>
          </w:p>
        </w:tc>
      </w:tr>
      <w:tr>
        <w:trPr>
          <w:trHeight w:val="329"/>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20" w:type="dxa"/>
            <w:vAlign w:val="bottom"/>
          </w:tcPr>
          <w:p>
            <w:pPr>
              <w:ind w:left="2860"/>
              <w:spacing w:after="0"/>
              <w:rPr>
                <w:sz w:val="20"/>
                <w:szCs w:val="20"/>
                <w:color w:val="auto"/>
              </w:rPr>
            </w:pPr>
            <w:r>
              <w:rPr>
                <w:rFonts w:ascii="Times New Roman" w:cs="Times New Roman" w:eastAsia="Times New Roman" w:hAnsi="Times New Roman"/>
                <w:sz w:val="14"/>
                <w:szCs w:val="14"/>
                <w:color w:val="454546"/>
              </w:rPr>
              <w:t>Emerging growth company</w:t>
            </w:r>
          </w:p>
        </w:tc>
        <w:tc>
          <w:tcPr>
            <w:tcW w:w="380" w:type="dxa"/>
            <w:vAlign w:val="bottom"/>
          </w:tcPr>
          <w:p>
            <w:pPr>
              <w:ind w:left="220"/>
              <w:spacing w:after="0"/>
              <w:rPr>
                <w:sz w:val="20"/>
                <w:szCs w:val="20"/>
                <w:color w:val="auto"/>
              </w:rPr>
            </w:pPr>
            <w:r>
              <w:rPr>
                <w:rFonts w:ascii="Wingdings" w:cs="Wingdings" w:eastAsia="Wingdings" w:hAnsi="Wingdings"/>
                <w:sz w:val="14"/>
                <w:szCs w:val="14"/>
                <w:color w:val="454546"/>
              </w:rPr>
              <w:t></w:t>
            </w:r>
          </w:p>
        </w:tc>
      </w:tr>
    </w:tbl>
    <w:p>
      <w:pPr>
        <w:spacing w:after="0" w:line="73" w:lineRule="exact"/>
        <w:rPr>
          <w:sz w:val="20"/>
          <w:szCs w:val="20"/>
          <w:color w:val="auto"/>
        </w:rPr>
      </w:pPr>
    </w:p>
    <w:p>
      <w:pPr>
        <w:ind w:left="60" w:right="320" w:firstLine="720"/>
        <w:spacing w:after="0" w:line="287" w:lineRule="auto"/>
        <w:rPr>
          <w:sz w:val="20"/>
          <w:szCs w:val="20"/>
          <w:color w:val="auto"/>
        </w:rPr>
      </w:pPr>
      <w:r>
        <w:rPr>
          <w:rFonts w:ascii="Times New Roman" w:cs="Times New Roman" w:eastAsia="Times New Roman" w:hAnsi="Times New Roman"/>
          <w:sz w:val="14"/>
          <w:szCs w:val="14"/>
          <w:color w:val="45454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color w:val="454546"/>
        </w:rPr>
        <w:t></w:t>
      </w:r>
    </w:p>
    <w:p>
      <w:pPr>
        <w:spacing w:after="0" w:line="11" w:lineRule="exact"/>
        <w:rPr>
          <w:sz w:val="20"/>
          <w:szCs w:val="20"/>
          <w:color w:val="auto"/>
        </w:rPr>
      </w:pPr>
    </w:p>
    <w:p>
      <w:pPr>
        <w:ind w:left="60" w:firstLine="720"/>
        <w:spacing w:after="0" w:line="287" w:lineRule="auto"/>
        <w:rPr>
          <w:sz w:val="20"/>
          <w:szCs w:val="20"/>
          <w:color w:val="auto"/>
        </w:rPr>
      </w:pPr>
      <w:r>
        <w:rPr>
          <w:rFonts w:ascii="Times New Roman" w:cs="Times New Roman" w:eastAsia="Times New Roman" w:hAnsi="Times New Roman"/>
          <w:sz w:val="14"/>
          <w:szCs w:val="14"/>
          <w:color w:val="45454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color w:val="454546"/>
        </w:rPr>
        <w:t></w:t>
      </w:r>
    </w:p>
    <w:p>
      <w:pPr>
        <w:spacing w:after="0" w:line="11" w:lineRule="exact"/>
        <w:rPr>
          <w:sz w:val="20"/>
          <w:szCs w:val="20"/>
          <w:color w:val="auto"/>
        </w:rPr>
      </w:pPr>
    </w:p>
    <w:p>
      <w:pPr>
        <w:jc w:val="both"/>
        <w:ind w:left="60" w:right="100" w:firstLine="720"/>
        <w:spacing w:after="0" w:line="261" w:lineRule="auto"/>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454546"/>
        </w:rPr>
        <w:t>☐</w:t>
      </w:r>
    </w:p>
    <w:p>
      <w:pPr>
        <w:ind w:left="60" w:right="100" w:firstLine="720"/>
        <w:spacing w:after="0" w:line="244" w:lineRule="auto"/>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Segoe UI Symbol" w:cs="Segoe UI Symbol" w:eastAsia="Segoe UI Symbol" w:hAnsi="Segoe UI Symbol"/>
          <w:sz w:val="14"/>
          <w:szCs w:val="14"/>
          <w:color w:val="454546"/>
        </w:rPr>
        <w:t>☐</w:t>
      </w:r>
    </w:p>
    <w:p>
      <w:pPr>
        <w:spacing w:after="0" w:line="1" w:lineRule="exact"/>
        <w:rPr>
          <w:sz w:val="20"/>
          <w:szCs w:val="20"/>
          <w:color w:val="auto"/>
        </w:rPr>
      </w:pPr>
    </w:p>
    <w:p>
      <w:pPr>
        <w:ind w:left="780"/>
        <w:spacing w:after="0"/>
        <w:tabs>
          <w:tab w:leader="none" w:pos="7260" w:val="left"/>
          <w:tab w:leader="none" w:pos="7800" w:val="left"/>
        </w:tabs>
        <w:rPr>
          <w:sz w:val="20"/>
          <w:szCs w:val="20"/>
          <w:color w:val="auto"/>
        </w:rPr>
      </w:pPr>
      <w:r>
        <w:rPr>
          <w:rFonts w:ascii="Times New Roman" w:cs="Times New Roman" w:eastAsia="Times New Roman" w:hAnsi="Times New Roman"/>
          <w:sz w:val="14"/>
          <w:szCs w:val="14"/>
          <w:color w:val="454546"/>
        </w:rPr>
        <w:t>Indicate by check mark whether the registrant is a shell company (as defined in Rule 12b-2 of the Exchange Act).</w:t>
        <w:tab/>
        <w:t xml:space="preserve">Yes </w:t>
      </w:r>
      <w:r>
        <w:rPr>
          <w:rFonts w:ascii="Wingdings" w:cs="Wingdings" w:eastAsia="Wingdings" w:hAnsi="Wingdings"/>
          <w:sz w:val="14"/>
          <w:szCs w:val="14"/>
          <w:color w:val="454546"/>
        </w:rPr>
        <w:t></w:t>
      </w:r>
      <w:r>
        <w:rPr>
          <w:rFonts w:ascii="Times New Roman" w:cs="Times New Roman" w:eastAsia="Times New Roman" w:hAnsi="Times New Roman"/>
          <w:sz w:val="14"/>
          <w:szCs w:val="14"/>
          <w:color w:val="454546"/>
        </w:rPr>
        <w:tab/>
        <w:t xml:space="preserve">No </w:t>
      </w:r>
      <w:r>
        <w:rPr>
          <w:rFonts w:ascii="Wingdings" w:cs="Wingdings" w:eastAsia="Wingdings" w:hAnsi="Wingdings"/>
          <w:sz w:val="14"/>
          <w:szCs w:val="14"/>
          <w:color w:val="454546"/>
        </w:rPr>
        <w:t></w:t>
      </w:r>
    </w:p>
    <w:p>
      <w:pPr>
        <w:spacing w:after="0" w:line="50" w:lineRule="exact"/>
        <w:rPr>
          <w:sz w:val="20"/>
          <w:szCs w:val="20"/>
          <w:color w:val="auto"/>
        </w:rPr>
      </w:pPr>
    </w:p>
    <w:p>
      <w:pPr>
        <w:jc w:val="both"/>
        <w:ind w:left="60" w:right="80" w:firstLine="720"/>
        <w:spacing w:after="0" w:line="259" w:lineRule="auto"/>
        <w:rPr>
          <w:sz w:val="20"/>
          <w:szCs w:val="20"/>
          <w:color w:val="auto"/>
        </w:rPr>
      </w:pPr>
      <w:r>
        <w:rPr>
          <w:rFonts w:ascii="Times New Roman" w:cs="Times New Roman" w:eastAsia="Times New Roman" w:hAnsi="Times New Roman"/>
          <w:sz w:val="14"/>
          <w:szCs w:val="14"/>
          <w:color w:val="454546"/>
        </w:rPr>
        <w:t>The aggregate market value of common stock held by non-affiliates of the registrant computed by reference to the price of the registrant’s common stock as of June 30, 2025, the last business day of the registrant's most recently completed second fiscal quarter, was approximately (based on the last reported sale price on the NASDAQ Global Market as of such date) $172.3 million.</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454546"/>
        </w:rPr>
        <w:t>As of February 27, 2026 there were 58,700,246 shares of the registrant’s common stock, par value $0.0001 per share, outstanding.</w:t>
      </w:r>
    </w:p>
    <w:p>
      <w:pPr>
        <w:spacing w:after="0" w:line="1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454546"/>
        </w:rPr>
        <w:t>DOCUMENTS INCORPORATED BY REFERENCE</w:t>
      </w:r>
    </w:p>
    <w:p>
      <w:pPr>
        <w:spacing w:after="0" w:line="136" w:lineRule="exact"/>
        <w:rPr>
          <w:sz w:val="20"/>
          <w:szCs w:val="20"/>
          <w:color w:val="auto"/>
        </w:rPr>
      </w:pPr>
    </w:p>
    <w:p>
      <w:pPr>
        <w:ind w:left="60" w:right="120"/>
        <w:spacing w:after="0" w:line="287" w:lineRule="auto"/>
        <w:rPr>
          <w:sz w:val="20"/>
          <w:szCs w:val="20"/>
          <w:color w:val="auto"/>
        </w:rPr>
      </w:pPr>
      <w:r>
        <w:rPr>
          <w:rFonts w:ascii="Times New Roman" w:cs="Times New Roman" w:eastAsia="Times New Roman" w:hAnsi="Times New Roman"/>
          <w:sz w:val="14"/>
          <w:szCs w:val="14"/>
          <w:color w:val="454546"/>
        </w:rPr>
        <w:t>Portions of the registrant’s Proxy Statement for its 2026 Annual Meeting of Stockholders, which the registrant intends to file with the Securities and Exchange Commission not later than 120 days after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107315</wp:posOffset>
                </wp:positionV>
                <wp:extent cx="6515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8.45pt" to="515.2pt,8.45pt" o:allowincell="f" strokecolor="#231F20" strokeweight="0.9599pt"/>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83185</wp:posOffset>
                </wp:positionV>
                <wp:extent cx="65151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6.55pt" to="515.2pt,6.55pt" o:allowincell="f" strokecolor="#231F20" strokeweight="0.959pt"/>
            </w:pict>
          </mc:Fallback>
        </mc:AlternateContent>
      </w:r>
    </w:p>
    <w:p>
      <w:pPr>
        <w:sectPr>
          <w:pgSz w:w="11880" w:h="15480" w:orient="portrait"/>
          <w:cols w:equalWidth="0" w:num="1">
            <w:col w:w="10300"/>
          </w:cols>
          <w:pgMar w:left="940" w:top="61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1</w:t>
      </w:r>
    </w:p>
    <w:p>
      <w:pPr>
        <w:sectPr>
          <w:pgSz w:w="11880" w:h="15480" w:orient="portrait"/>
          <w:cols w:equalWidth="0" w:num="1">
            <w:col w:w="10300"/>
          </w:cols>
          <w:pgMar w:left="940" w:top="611" w:right="6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2"/>
        </w:trPr>
        <w:tc>
          <w:tcPr>
            <w:tcW w:w="860" w:type="dxa"/>
            <w:vAlign w:val="bottom"/>
          </w:tcPr>
          <w:p>
            <w:pPr>
              <w:spacing w:after="0"/>
              <w:rPr>
                <w:sz w:val="21"/>
                <w:szCs w:val="21"/>
                <w:color w:val="auto"/>
              </w:rPr>
            </w:pPr>
          </w:p>
        </w:tc>
        <w:tc>
          <w:tcPr>
            <w:tcW w:w="8760" w:type="dxa"/>
            <w:vAlign w:val="bottom"/>
          </w:tcPr>
          <w:p>
            <w:pPr>
              <w:ind w:left="3080"/>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3"/>
                <w:szCs w:val="23"/>
                <w:color w:val="auto"/>
              </w:rPr>
            </w:pPr>
          </w:p>
        </w:tc>
        <w:tc>
          <w:tcPr>
            <w:tcW w:w="8760" w:type="dxa"/>
            <w:vAlign w:val="bottom"/>
          </w:tcPr>
          <w:p>
            <w:pPr>
              <w:ind w:left="3980"/>
              <w:spacing w:after="0"/>
              <w:rPr>
                <w:sz w:val="20"/>
                <w:szCs w:val="20"/>
                <w:color w:val="auto"/>
              </w:rPr>
            </w:pPr>
            <w:r>
              <w:rPr>
                <w:rFonts w:ascii="Times New Roman" w:cs="Times New Roman" w:eastAsia="Times New Roman" w:hAnsi="Times New Roman"/>
                <w:sz w:val="20"/>
                <w:szCs w:val="20"/>
                <w:b w:val="1"/>
                <w:bCs w:val="1"/>
                <w:color w:val="454546"/>
              </w:rPr>
              <w:t>Index</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8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454546"/>
              </w:rPr>
              <w:t>Page</w:t>
            </w:r>
          </w:p>
        </w:tc>
        <w:tc>
          <w:tcPr>
            <w:tcW w:w="0" w:type="dxa"/>
            <w:vAlign w:val="bottom"/>
          </w:tcPr>
          <w:p>
            <w:pPr>
              <w:spacing w:after="0"/>
              <w:rPr>
                <w:sz w:val="1"/>
                <w:szCs w:val="1"/>
                <w:color w:val="auto"/>
              </w:rPr>
            </w:pPr>
          </w:p>
        </w:tc>
      </w:tr>
      <w:tr>
        <w:trPr>
          <w:trHeight w:val="44"/>
        </w:trPr>
        <w:tc>
          <w:tcPr>
            <w:tcW w:w="860" w:type="dxa"/>
            <w:vAlign w:val="bottom"/>
          </w:tcPr>
          <w:p>
            <w:pPr>
              <w:spacing w:after="0"/>
              <w:rPr>
                <w:sz w:val="3"/>
                <w:szCs w:val="3"/>
                <w:color w:val="auto"/>
              </w:rPr>
            </w:pPr>
          </w:p>
        </w:tc>
        <w:tc>
          <w:tcPr>
            <w:tcW w:w="8760" w:type="dxa"/>
            <w:vAlign w:val="bottom"/>
            <w:vMerge w:val="restart"/>
          </w:tcPr>
          <w:p>
            <w:pPr>
              <w:jc w:val="center"/>
              <w:ind w:right="820"/>
              <w:spacing w:after="0"/>
              <w:rPr>
                <w:sz w:val="20"/>
                <w:szCs w:val="20"/>
                <w:color w:val="auto"/>
              </w:rPr>
            </w:pPr>
            <w:r>
              <w:rPr>
                <w:rFonts w:ascii="Times New Roman" w:cs="Times New Roman" w:eastAsia="Times New Roman" w:hAnsi="Times New Roman"/>
                <w:sz w:val="20"/>
                <w:szCs w:val="20"/>
                <w:b w:val="1"/>
                <w:bCs w:val="1"/>
                <w:color w:val="454546"/>
                <w:w w:val="95"/>
              </w:rPr>
              <w:t>PART I</w:t>
            </w:r>
          </w:p>
        </w:tc>
        <w:tc>
          <w:tcPr>
            <w:tcW w:w="60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876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Business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1A.</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38</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1B.</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Unresolved Staff Comments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61</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1C.</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Cybersecurity</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61</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2.</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Properties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62</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3.</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62</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4.</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62</w:t>
            </w:r>
          </w:p>
        </w:tc>
        <w:tc>
          <w:tcPr>
            <w:tcW w:w="0" w:type="dxa"/>
            <w:vAlign w:val="bottom"/>
          </w:tcPr>
          <w:p>
            <w:pPr>
              <w:spacing w:after="0"/>
              <w:rPr>
                <w:sz w:val="1"/>
                <w:szCs w:val="1"/>
                <w:color w:val="auto"/>
              </w:rPr>
            </w:pPr>
          </w:p>
        </w:tc>
      </w:tr>
      <w:tr>
        <w:trPr>
          <w:trHeight w:val="573"/>
        </w:trPr>
        <w:tc>
          <w:tcPr>
            <w:tcW w:w="860" w:type="dxa"/>
            <w:vAlign w:val="bottom"/>
          </w:tcPr>
          <w:p>
            <w:pPr>
              <w:spacing w:after="0"/>
              <w:rPr>
                <w:sz w:val="24"/>
                <w:szCs w:val="24"/>
                <w:color w:val="auto"/>
              </w:rPr>
            </w:pPr>
          </w:p>
        </w:tc>
        <w:tc>
          <w:tcPr>
            <w:tcW w:w="8760" w:type="dxa"/>
            <w:vAlign w:val="bottom"/>
          </w:tcPr>
          <w:p>
            <w:pPr>
              <w:jc w:val="center"/>
              <w:ind w:right="820"/>
              <w:spacing w:after="0"/>
              <w:rPr>
                <w:sz w:val="20"/>
                <w:szCs w:val="20"/>
                <w:color w:val="auto"/>
              </w:rPr>
            </w:pPr>
            <w:r>
              <w:rPr>
                <w:rFonts w:ascii="Times New Roman" w:cs="Times New Roman" w:eastAsia="Times New Roman" w:hAnsi="Times New Roman"/>
                <w:sz w:val="20"/>
                <w:szCs w:val="20"/>
                <w:b w:val="1"/>
                <w:bCs w:val="1"/>
                <w:color w:val="454546"/>
                <w:w w:val="95"/>
              </w:rPr>
              <w:t>PART 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5.</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Market for Registrant’s Common Equity, Related Stockholder Matters and Issuer Purchases of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w:t>
            </w: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Securities</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6.</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7.</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7A.</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72</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8.</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Consolidated Financial Statements and Supplementary Data</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73</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9.</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9A.</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9B.</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100</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9C.</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100</w:t>
            </w:r>
          </w:p>
        </w:tc>
        <w:tc>
          <w:tcPr>
            <w:tcW w:w="0" w:type="dxa"/>
            <w:vAlign w:val="bottom"/>
          </w:tcPr>
          <w:p>
            <w:pPr>
              <w:spacing w:after="0"/>
              <w:rPr>
                <w:sz w:val="1"/>
                <w:szCs w:val="1"/>
                <w:color w:val="auto"/>
              </w:rPr>
            </w:pPr>
          </w:p>
        </w:tc>
      </w:tr>
      <w:tr>
        <w:trPr>
          <w:trHeight w:val="573"/>
        </w:trPr>
        <w:tc>
          <w:tcPr>
            <w:tcW w:w="860" w:type="dxa"/>
            <w:vAlign w:val="bottom"/>
          </w:tcPr>
          <w:p>
            <w:pPr>
              <w:spacing w:after="0"/>
              <w:rPr>
                <w:sz w:val="24"/>
                <w:szCs w:val="24"/>
                <w:color w:val="auto"/>
              </w:rPr>
            </w:pPr>
          </w:p>
        </w:tc>
        <w:tc>
          <w:tcPr>
            <w:tcW w:w="8760" w:type="dxa"/>
            <w:vAlign w:val="bottom"/>
          </w:tcPr>
          <w:p>
            <w:pPr>
              <w:jc w:val="center"/>
              <w:ind w:right="820"/>
              <w:spacing w:after="0"/>
              <w:rPr>
                <w:sz w:val="20"/>
                <w:szCs w:val="20"/>
                <w:color w:val="auto"/>
              </w:rPr>
            </w:pPr>
            <w:r>
              <w:rPr>
                <w:rFonts w:ascii="Times New Roman" w:cs="Times New Roman" w:eastAsia="Times New Roman" w:hAnsi="Times New Roman"/>
                <w:sz w:val="20"/>
                <w:szCs w:val="20"/>
                <w:b w:val="1"/>
                <w:bCs w:val="1"/>
                <w:color w:val="454546"/>
                <w:w w:val="96"/>
              </w:rPr>
              <w:t>PART III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10.</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11.</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Executive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12.</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13.</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Certain Relationships and Related Transactions, and Director Independence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14.</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Principal Accountant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101</w:t>
            </w:r>
          </w:p>
        </w:tc>
        <w:tc>
          <w:tcPr>
            <w:tcW w:w="0" w:type="dxa"/>
            <w:vAlign w:val="bottom"/>
          </w:tcPr>
          <w:p>
            <w:pPr>
              <w:spacing w:after="0"/>
              <w:rPr>
                <w:sz w:val="1"/>
                <w:szCs w:val="1"/>
                <w:color w:val="auto"/>
              </w:rPr>
            </w:pPr>
          </w:p>
        </w:tc>
      </w:tr>
      <w:tr>
        <w:trPr>
          <w:trHeight w:val="573"/>
        </w:trPr>
        <w:tc>
          <w:tcPr>
            <w:tcW w:w="860" w:type="dxa"/>
            <w:vAlign w:val="bottom"/>
          </w:tcPr>
          <w:p>
            <w:pPr>
              <w:spacing w:after="0"/>
              <w:rPr>
                <w:sz w:val="24"/>
                <w:szCs w:val="24"/>
                <w:color w:val="auto"/>
              </w:rPr>
            </w:pPr>
          </w:p>
        </w:tc>
        <w:tc>
          <w:tcPr>
            <w:tcW w:w="8760" w:type="dxa"/>
            <w:vAlign w:val="bottom"/>
          </w:tcPr>
          <w:p>
            <w:pPr>
              <w:jc w:val="center"/>
              <w:ind w:right="800"/>
              <w:spacing w:after="0"/>
              <w:rPr>
                <w:sz w:val="20"/>
                <w:szCs w:val="20"/>
                <w:color w:val="auto"/>
              </w:rPr>
            </w:pPr>
            <w:r>
              <w:rPr>
                <w:rFonts w:ascii="Times New Roman" w:cs="Times New Roman" w:eastAsia="Times New Roman" w:hAnsi="Times New Roman"/>
                <w:sz w:val="20"/>
                <w:szCs w:val="20"/>
                <w:b w:val="1"/>
                <w:bCs w:val="1"/>
                <w:color w:val="454546"/>
                <w:w w:val="95"/>
              </w:rPr>
              <w:t>PART IV</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15.</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Exhibit and Financial Statement Schedules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w:t>
            </w:r>
          </w:p>
        </w:tc>
        <w:tc>
          <w:tcPr>
            <w:tcW w:w="0" w:type="dxa"/>
            <w:vAlign w:val="bottom"/>
          </w:tcPr>
          <w:p>
            <w:pPr>
              <w:spacing w:after="0"/>
              <w:rPr>
                <w:sz w:val="1"/>
                <w:szCs w:val="1"/>
                <w:color w:val="auto"/>
              </w:rPr>
            </w:pPr>
          </w:p>
        </w:tc>
      </w:tr>
      <w:tr>
        <w:trPr>
          <w:trHeight w:val="28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rPr>
              <w:t>Item 16.</w:t>
            </w:r>
          </w:p>
        </w:tc>
        <w:tc>
          <w:tcPr>
            <w:tcW w:w="8760" w:type="dxa"/>
            <w:vAlign w:val="bottom"/>
          </w:tcPr>
          <w:p>
            <w:pPr>
              <w:ind w:left="20"/>
              <w:spacing w:after="0"/>
              <w:rPr>
                <w:sz w:val="20"/>
                <w:szCs w:val="20"/>
                <w:color w:val="auto"/>
              </w:rPr>
            </w:pPr>
            <w:r>
              <w:rPr>
                <w:rFonts w:ascii="Times New Roman" w:cs="Times New Roman" w:eastAsia="Times New Roman" w:hAnsi="Times New Roman"/>
                <w:sz w:val="20"/>
                <w:szCs w:val="20"/>
                <w:color w:val="454546"/>
              </w:rPr>
              <w:t>Form 10-K Summary</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w:t>
            </w:r>
          </w:p>
        </w:tc>
        <w:tc>
          <w:tcPr>
            <w:tcW w:w="0" w:type="dxa"/>
            <w:vAlign w:val="bottom"/>
          </w:tcPr>
          <w:p>
            <w:pPr>
              <w:spacing w:after="0"/>
              <w:rPr>
                <w:sz w:val="1"/>
                <w:szCs w:val="1"/>
                <w:color w:val="auto"/>
              </w:rPr>
            </w:pPr>
          </w:p>
        </w:tc>
      </w:tr>
      <w:tr>
        <w:trPr>
          <w:trHeight w:val="28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454546"/>
                <w:w w:val="99"/>
              </w:rPr>
              <w:t>Signatures</w:t>
            </w:r>
          </w:p>
        </w:tc>
        <w:tc>
          <w:tcPr>
            <w:tcW w:w="87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20"/>
          </w:cols>
          <w:pgMar w:left="860" w:top="50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454546"/>
        </w:rPr>
        <w:t>2</w:t>
      </w:r>
    </w:p>
    <w:p>
      <w:pPr>
        <w:sectPr>
          <w:pgSz w:w="11880" w:h="15480" w:orient="portrait"/>
          <w:cols w:equalWidth="0" w:num="1">
            <w:col w:w="10220"/>
          </w:cols>
          <w:pgMar w:left="860" w:top="500" w:right="800" w:bottom="0"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SPECIAL NOTE REGARDING FORWARD-LOOKING STATEMENTS</w:t>
      </w:r>
    </w:p>
    <w:p>
      <w:pPr>
        <w:spacing w:after="0" w:line="254"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20"/>
          <w:szCs w:val="20"/>
          <w:color w:val="454546"/>
        </w:rPr>
        <w:t>This Annual Report on Form 10-K contains forward-looking statements that are based on management’s beliefs and assumptions and on information currently available to management. All statements other than statements of historical facts contained in this Annual Report on Form 10-K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83" w:lineRule="exact"/>
        <w:rPr>
          <w:sz w:val="20"/>
          <w:szCs w:val="20"/>
          <w:color w:val="auto"/>
        </w:rPr>
      </w:pPr>
    </w:p>
    <w:p>
      <w:pPr>
        <w:ind w:left="1280" w:right="220" w:hanging="549"/>
        <w:spacing w:after="0" w:line="269" w:lineRule="auto"/>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initiation, timing, progress, enrollment, results, and timing of results and regulatory filings of our research and development programs and our preclinical and clinical studies, including those included in our collaboration with Eli Lilly and Company (“Lilly”);</w:t>
      </w:r>
    </w:p>
    <w:p>
      <w:pPr>
        <w:spacing w:after="0" w:line="66" w:lineRule="exact"/>
        <w:rPr>
          <w:rFonts w:ascii="Times New Roman" w:cs="Times New Roman" w:eastAsia="Times New Roman" w:hAnsi="Times New Roman"/>
          <w:sz w:val="20"/>
          <w:szCs w:val="20"/>
          <w:color w:val="454546"/>
        </w:rPr>
      </w:pPr>
    </w:p>
    <w:p>
      <w:pPr>
        <w:ind w:left="1280" w:right="80" w:hanging="549"/>
        <w:spacing w:after="0" w:line="287" w:lineRule="auto"/>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ability to advance any product candidates that we may develop and to successfully complete preclinical and clinical studies;</w:t>
      </w:r>
    </w:p>
    <w:p>
      <w:pPr>
        <w:spacing w:after="0" w:line="83" w:lineRule="exact"/>
        <w:rPr>
          <w:rFonts w:ascii="Times New Roman" w:cs="Times New Roman" w:eastAsia="Times New Roman" w:hAnsi="Times New Roman"/>
          <w:sz w:val="20"/>
          <w:szCs w:val="20"/>
          <w:color w:val="454546"/>
        </w:rPr>
      </w:pPr>
    </w:p>
    <w:p>
      <w:pPr>
        <w:ind w:left="1280" w:right="440" w:hanging="549"/>
        <w:spacing w:after="0" w:line="246" w:lineRule="auto"/>
        <w:tabs>
          <w:tab w:leader="none" w:pos="1280" w:val="left"/>
        </w:tabs>
        <w:numPr>
          <w:ilvl w:val="0"/>
          <w:numId w:val="3"/>
        </w:numPr>
        <w:rPr>
          <w:rFonts w:ascii="Arial" w:cs="Arial" w:eastAsia="Arial" w:hAnsi="Arial"/>
          <w:sz w:val="24"/>
          <w:szCs w:val="24"/>
          <w:color w:val="454546"/>
        </w:rPr>
      </w:pPr>
      <w:r>
        <w:rPr>
          <w:rFonts w:ascii="Times New Roman" w:cs="Times New Roman" w:eastAsia="Times New Roman" w:hAnsi="Times New Roman"/>
          <w:sz w:val="20"/>
          <w:szCs w:val="20"/>
          <w:color w:val="454546"/>
        </w:rPr>
        <w:t>our ability to leverage our initial programs to develop additional product candidates using our Gene Traffic Control</w:t>
      </w:r>
      <w:r>
        <w:rPr>
          <w:rFonts w:ascii="Times New Roman" w:cs="Times New Roman" w:eastAsia="Times New Roman" w:hAnsi="Times New Roman"/>
          <w:sz w:val="32"/>
          <w:szCs w:val="32"/>
          <w:color w:val="454546"/>
          <w:vertAlign w:val="superscript"/>
        </w:rPr>
        <w:t>®</w:t>
      </w:r>
      <w:r>
        <w:rPr>
          <w:rFonts w:ascii="Times New Roman" w:cs="Times New Roman" w:eastAsia="Times New Roman" w:hAnsi="Times New Roman"/>
          <w:sz w:val="20"/>
          <w:szCs w:val="20"/>
          <w:color w:val="454546"/>
        </w:rPr>
        <w:t xml:space="preserve"> platform;</w:t>
      </w:r>
    </w:p>
    <w:p>
      <w:pPr>
        <w:ind w:left="1280" w:hanging="549"/>
        <w:spacing w:after="0"/>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developments related to our competitors and our industry;</w:t>
      </w:r>
    </w:p>
    <w:p>
      <w:pPr>
        <w:spacing w:after="0" w:line="117" w:lineRule="exact"/>
        <w:rPr>
          <w:rFonts w:ascii="Times New Roman" w:cs="Times New Roman" w:eastAsia="Times New Roman" w:hAnsi="Times New Roman"/>
          <w:sz w:val="20"/>
          <w:szCs w:val="20"/>
          <w:color w:val="454546"/>
        </w:rPr>
      </w:pPr>
    </w:p>
    <w:p>
      <w:pPr>
        <w:ind w:left="1280" w:hanging="549"/>
        <w:spacing w:after="0"/>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ability to expand the target populations of our programs and the availability of patients for clinical testing;</w:t>
      </w:r>
    </w:p>
    <w:p>
      <w:pPr>
        <w:spacing w:after="0" w:line="129" w:lineRule="exact"/>
        <w:rPr>
          <w:rFonts w:ascii="Times New Roman" w:cs="Times New Roman" w:eastAsia="Times New Roman" w:hAnsi="Times New Roman"/>
          <w:sz w:val="20"/>
          <w:szCs w:val="20"/>
          <w:color w:val="454546"/>
        </w:rPr>
      </w:pPr>
    </w:p>
    <w:p>
      <w:pPr>
        <w:ind w:left="1280" w:right="340" w:hanging="549"/>
        <w:spacing w:after="0" w:line="287" w:lineRule="auto"/>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ability to obtain regulatory approval for FHD-909 and any future product candidates from the U.S. Food and Drug Administration (the “FDA”) and other regulatory authorities;</w:t>
      </w:r>
    </w:p>
    <w:p>
      <w:pPr>
        <w:spacing w:after="0" w:line="49" w:lineRule="exact"/>
        <w:rPr>
          <w:rFonts w:ascii="Times New Roman" w:cs="Times New Roman" w:eastAsia="Times New Roman" w:hAnsi="Times New Roman"/>
          <w:sz w:val="20"/>
          <w:szCs w:val="20"/>
          <w:color w:val="454546"/>
        </w:rPr>
      </w:pPr>
    </w:p>
    <w:p>
      <w:pPr>
        <w:ind w:left="1280" w:hanging="549"/>
        <w:spacing w:after="0"/>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ability to identify and enter into future license agreements and collaborations;</w:t>
      </w:r>
    </w:p>
    <w:p>
      <w:pPr>
        <w:spacing w:after="0" w:line="129" w:lineRule="exact"/>
        <w:rPr>
          <w:rFonts w:ascii="Times New Roman" w:cs="Times New Roman" w:eastAsia="Times New Roman" w:hAnsi="Times New Roman"/>
          <w:sz w:val="20"/>
          <w:szCs w:val="20"/>
          <w:color w:val="454546"/>
        </w:rPr>
      </w:pPr>
    </w:p>
    <w:p>
      <w:pPr>
        <w:ind w:left="1280" w:right="400" w:hanging="550"/>
        <w:spacing w:after="0" w:line="269" w:lineRule="auto"/>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ability to continue to rely on our contract development and manufacturing organizations (“CDMOs”) or contract research organizations (“CROs”), including those located outside the United States, such as those located in China, for our manufacturing and research needs;</w:t>
      </w:r>
    </w:p>
    <w:p>
      <w:pPr>
        <w:spacing w:after="0" w:line="66" w:lineRule="exact"/>
        <w:rPr>
          <w:rFonts w:ascii="Times New Roman" w:cs="Times New Roman" w:eastAsia="Times New Roman" w:hAnsi="Times New Roman"/>
          <w:sz w:val="20"/>
          <w:szCs w:val="20"/>
          <w:color w:val="454546"/>
        </w:rPr>
      </w:pPr>
    </w:p>
    <w:p>
      <w:pPr>
        <w:ind w:left="1280" w:hanging="550"/>
        <w:spacing w:after="0"/>
        <w:tabs>
          <w:tab w:leader="none" w:pos="128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regulatory developments in the United States and foreign countries;</w:t>
      </w:r>
    </w:p>
    <w:p>
      <w:pPr>
        <w:spacing w:after="0" w:line="129" w:lineRule="exact"/>
        <w:rPr>
          <w:rFonts w:ascii="Times New Roman" w:cs="Times New Roman" w:eastAsia="Times New Roman" w:hAnsi="Times New Roman"/>
          <w:sz w:val="20"/>
          <w:szCs w:val="20"/>
          <w:color w:val="454546"/>
        </w:rPr>
      </w:pPr>
    </w:p>
    <w:p>
      <w:pPr>
        <w:ind w:left="1260" w:right="20" w:hanging="530"/>
        <w:spacing w:after="0" w:line="287" w:lineRule="auto"/>
        <w:tabs>
          <w:tab w:leader="none" w:pos="126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general economic conditions, including recessionary conditions, interest rates, monetary fluctuations and supply chain constraints;</w:t>
      </w:r>
    </w:p>
    <w:p>
      <w:pPr>
        <w:spacing w:after="0" w:line="49" w:lineRule="exact"/>
        <w:rPr>
          <w:rFonts w:ascii="Times New Roman" w:cs="Times New Roman" w:eastAsia="Times New Roman" w:hAnsi="Times New Roman"/>
          <w:sz w:val="20"/>
          <w:szCs w:val="20"/>
          <w:color w:val="454546"/>
        </w:rPr>
      </w:pPr>
    </w:p>
    <w:p>
      <w:pPr>
        <w:ind w:left="1260" w:hanging="530"/>
        <w:spacing w:after="0"/>
        <w:tabs>
          <w:tab w:leader="none" w:pos="126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ongoing and potential geopolitical instability and armed conflicts;</w:t>
      </w:r>
    </w:p>
    <w:p>
      <w:pPr>
        <w:spacing w:after="0" w:line="129" w:lineRule="exact"/>
        <w:rPr>
          <w:rFonts w:ascii="Times New Roman" w:cs="Times New Roman" w:eastAsia="Times New Roman" w:hAnsi="Times New Roman"/>
          <w:sz w:val="20"/>
          <w:szCs w:val="20"/>
          <w:color w:val="454546"/>
        </w:rPr>
      </w:pPr>
    </w:p>
    <w:p>
      <w:pPr>
        <w:ind w:left="1260" w:hanging="530"/>
        <w:spacing w:after="0"/>
        <w:tabs>
          <w:tab w:leader="none" w:pos="126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ability to attract and retain key scientific and management personnel; and</w:t>
      </w:r>
    </w:p>
    <w:p>
      <w:pPr>
        <w:spacing w:after="0" w:line="129" w:lineRule="exact"/>
        <w:rPr>
          <w:rFonts w:ascii="Times New Roman" w:cs="Times New Roman" w:eastAsia="Times New Roman" w:hAnsi="Times New Roman"/>
          <w:sz w:val="20"/>
          <w:szCs w:val="20"/>
          <w:color w:val="454546"/>
        </w:rPr>
      </w:pPr>
    </w:p>
    <w:p>
      <w:pPr>
        <w:ind w:left="1260" w:right="280" w:hanging="531"/>
        <w:spacing w:after="0" w:line="287" w:lineRule="auto"/>
        <w:tabs>
          <w:tab w:leader="none" w:pos="1260" w:val="left"/>
        </w:tabs>
        <w:numPr>
          <w:ilvl w:val="0"/>
          <w:numId w:val="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scope of protection we are able to establish, maintain and enforce for intellectual property rights covering our current and future product candidates, and our Gene Traffic Control platform.</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under the section entitled “Item 1A. Risk Factors” in this Annual Report on Form 10-K.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risks and uncertainties may emerge from time to time, and it is not possible for management to predict all risks and uncertainties. Except as required by applicable law, we do not plan to publicly update or revise any forward-looking statements contained herein, whether as a result of any new information, future events, changed circumstances or otherwise.</w:t>
      </w:r>
    </w:p>
    <w:p>
      <w:pPr>
        <w:sectPr>
          <w:pgSz w:w="11880" w:h="15480" w:orient="portrait"/>
          <w:cols w:equalWidth="0" w:num="1">
            <w:col w:w="10280"/>
          </w:cols>
          <w:pgMar w:left="800" w:top="50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3</w:t>
      </w:r>
    </w:p>
    <w:p>
      <w:pPr>
        <w:sectPr>
          <w:pgSz w:w="11880" w:h="15480" w:orient="portrait"/>
          <w:cols w:equalWidth="0" w:num="1">
            <w:col w:w="10280"/>
          </w:cols>
          <w:pgMar w:left="800" w:top="500" w:right="80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454546"/>
        </w:rPr>
        <w:t>SUMMARY OF RISK FACTORS</w:t>
      </w:r>
    </w:p>
    <w:p>
      <w:pPr>
        <w:spacing w:after="0" w:line="25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i w:val="1"/>
          <w:iCs w:val="1"/>
          <w:color w:val="454546"/>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“Item 1A. Risk Factors” and should be carefully considered, together with other information in this Annual Report on Form 10-K and our other filings with the SEC, before making an investment decision regarding our common stock.</w:t>
      </w:r>
    </w:p>
    <w:p>
      <w:pPr>
        <w:spacing w:after="0" w:line="77" w:lineRule="exact"/>
        <w:rPr>
          <w:sz w:val="20"/>
          <w:szCs w:val="20"/>
          <w:color w:val="auto"/>
        </w:rPr>
      </w:pPr>
    </w:p>
    <w:p>
      <w:pPr>
        <w:ind w:left="1260" w:right="320" w:hanging="549"/>
        <w:spacing w:after="0" w:line="287"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have a limited operating history and have no products approved for commercial sale, which may make it difficult for you to evaluate our current business and predict our future success and viability.</w:t>
      </w:r>
    </w:p>
    <w:p>
      <w:pPr>
        <w:spacing w:after="0" w:line="49" w:lineRule="exact"/>
        <w:rPr>
          <w:rFonts w:ascii="Times New Roman" w:cs="Times New Roman" w:eastAsia="Times New Roman" w:hAnsi="Times New Roman"/>
          <w:sz w:val="20"/>
          <w:szCs w:val="20"/>
          <w:color w:val="454546"/>
        </w:rPr>
      </w:pPr>
    </w:p>
    <w:p>
      <w:pPr>
        <w:ind w:left="1260" w:right="380" w:hanging="549"/>
        <w:spacing w:after="0" w:line="287"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have incurred significant losses since inception. We expect to incur losses for the foreseeable future and may never achieve or maintain profitability.</w:t>
      </w:r>
    </w:p>
    <w:p>
      <w:pPr>
        <w:spacing w:after="0" w:line="49" w:lineRule="exact"/>
        <w:rPr>
          <w:rFonts w:ascii="Times New Roman" w:cs="Times New Roman" w:eastAsia="Times New Roman" w:hAnsi="Times New Roman"/>
          <w:sz w:val="20"/>
          <w:szCs w:val="20"/>
          <w:color w:val="454546"/>
        </w:rPr>
      </w:pPr>
    </w:p>
    <w:p>
      <w:pPr>
        <w:ind w:left="1260" w:right="180" w:hanging="549"/>
        <w:spacing w:after="0" w:line="269"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will need substantial additional funding. If we are unable to raise capital when needed or under acceptable terms, we could be forced to delay, reduce or eliminate our research and product development programs or future commercialization efforts.</w:t>
      </w:r>
    </w:p>
    <w:p>
      <w:pPr>
        <w:spacing w:after="0" w:line="66" w:lineRule="exact"/>
        <w:rPr>
          <w:rFonts w:ascii="Times New Roman" w:cs="Times New Roman" w:eastAsia="Times New Roman" w:hAnsi="Times New Roman"/>
          <w:sz w:val="20"/>
          <w:szCs w:val="20"/>
          <w:color w:val="454546"/>
        </w:rPr>
      </w:pPr>
    </w:p>
    <w:p>
      <w:pPr>
        <w:ind w:left="1260" w:hanging="549"/>
        <w:spacing w:after="0" w:line="262"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are heavily dependent on the success of our product candidates, which are in preclinical and Phase 1 clinical development. We may not be successful in our efforts to identify and develop potential product candidates. If these efforts are unsuccessful, or if we experience significant delays, we may never become a commercial stage company or generate any revenues, and our business could be materially harmed.</w:t>
      </w:r>
    </w:p>
    <w:p>
      <w:pPr>
        <w:spacing w:after="0" w:line="75" w:lineRule="exact"/>
        <w:rPr>
          <w:rFonts w:ascii="Times New Roman" w:cs="Times New Roman" w:eastAsia="Times New Roman" w:hAnsi="Times New Roman"/>
          <w:sz w:val="20"/>
          <w:szCs w:val="20"/>
          <w:color w:val="454546"/>
        </w:rPr>
      </w:pPr>
    </w:p>
    <w:p>
      <w:pPr>
        <w:ind w:left="1260" w:right="80" w:hanging="549"/>
        <w:spacing w:after="0" w:line="289" w:lineRule="auto"/>
        <w:tabs>
          <w:tab w:leader="none" w:pos="1260" w:val="left"/>
        </w:tabs>
        <w:numPr>
          <w:ilvl w:val="0"/>
          <w:numId w:val="4"/>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Our clinical trials may fail to demonstrate substantial evidence of the safety and efficacy of our product candidates, which would delay or prevent regulatory approval of the product candidates, limit their commercial potential or result in significant negative consequences following any potential marketing approval.</w:t>
      </w:r>
    </w:p>
    <w:p>
      <w:pPr>
        <w:spacing w:after="0" w:line="50" w:lineRule="exact"/>
        <w:rPr>
          <w:rFonts w:ascii="Times New Roman" w:cs="Times New Roman" w:eastAsia="Times New Roman" w:hAnsi="Times New Roman"/>
          <w:sz w:val="19"/>
          <w:szCs w:val="19"/>
          <w:color w:val="454546"/>
        </w:rPr>
      </w:pPr>
    </w:p>
    <w:p>
      <w:pPr>
        <w:ind w:left="1260" w:hanging="549"/>
        <w:spacing w:after="0" w:line="262"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or our collaboration partner may not be able to file Investigational New Drug Applications (“INDs”) or IND amendments to commence clinical trials of our product candidates on the timelines we expect, and even if we or they are able to, the FDA may not permit us to proceed. For our partnered programs, we may not be able to exert unilateral control over the development of such product candidates.</w:t>
      </w:r>
    </w:p>
    <w:p>
      <w:pPr>
        <w:spacing w:after="0" w:line="75" w:lineRule="exact"/>
        <w:rPr>
          <w:rFonts w:ascii="Times New Roman" w:cs="Times New Roman" w:eastAsia="Times New Roman" w:hAnsi="Times New Roman"/>
          <w:sz w:val="20"/>
          <w:szCs w:val="20"/>
          <w:color w:val="454546"/>
        </w:rPr>
      </w:pPr>
    </w:p>
    <w:p>
      <w:pPr>
        <w:ind w:left="1260" w:right="120" w:hanging="550"/>
        <w:spacing w:after="0" w:line="269"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are not able to exert unilateral control over the development of FHD-909 through our collaboration with Lilly and may not be able to exert unilateral control over future product candidates as part of that collaboration or other future collaborations.</w:t>
      </w:r>
    </w:p>
    <w:p>
      <w:pPr>
        <w:spacing w:after="0" w:line="66" w:lineRule="exact"/>
        <w:rPr>
          <w:rFonts w:ascii="Times New Roman" w:cs="Times New Roman" w:eastAsia="Times New Roman" w:hAnsi="Times New Roman"/>
          <w:sz w:val="20"/>
          <w:szCs w:val="20"/>
          <w:color w:val="454546"/>
        </w:rPr>
      </w:pPr>
    </w:p>
    <w:p>
      <w:pPr>
        <w:ind w:left="1260" w:right="720" w:hanging="550"/>
        <w:spacing w:after="0" w:line="287" w:lineRule="auto"/>
        <w:tabs>
          <w:tab w:leader="none" w:pos="126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There is substantial competition in our field, which may result in others developing or commercializing products that may be competitors of ours before we do.</w:t>
      </w:r>
    </w:p>
    <w:p>
      <w:pPr>
        <w:spacing w:after="0" w:line="49" w:lineRule="exact"/>
        <w:rPr>
          <w:rFonts w:ascii="Times New Roman" w:cs="Times New Roman" w:eastAsia="Times New Roman" w:hAnsi="Times New Roman"/>
          <w:sz w:val="20"/>
          <w:szCs w:val="20"/>
          <w:color w:val="454546"/>
        </w:rPr>
      </w:pPr>
    </w:p>
    <w:p>
      <w:pPr>
        <w:ind w:left="1240" w:right="600" w:hanging="530"/>
        <w:spacing w:after="0" w:line="287" w:lineRule="auto"/>
        <w:tabs>
          <w:tab w:leader="none" w:pos="124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are highly dependent on our key personnel. If we are not successful in attracting and retaining highly qualified personnel, we may not be able to successfully implement our business strategy.</w:t>
      </w:r>
    </w:p>
    <w:p>
      <w:pPr>
        <w:spacing w:after="0" w:line="49" w:lineRule="exact"/>
        <w:rPr>
          <w:rFonts w:ascii="Times New Roman" w:cs="Times New Roman" w:eastAsia="Times New Roman" w:hAnsi="Times New Roman"/>
          <w:sz w:val="20"/>
          <w:szCs w:val="20"/>
          <w:color w:val="454546"/>
        </w:rPr>
      </w:pPr>
    </w:p>
    <w:p>
      <w:pPr>
        <w:ind w:left="1240" w:right="200" w:hanging="530"/>
        <w:spacing w:after="0" w:line="262" w:lineRule="auto"/>
        <w:tabs>
          <w:tab w:leader="none" w:pos="124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If we are unable to adequately protect our proprietary technology and platform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develop and commercialize our technology and products may be impaired.</w:t>
      </w:r>
    </w:p>
    <w:p>
      <w:pPr>
        <w:spacing w:after="0" w:line="75" w:lineRule="exact"/>
        <w:rPr>
          <w:rFonts w:ascii="Times New Roman" w:cs="Times New Roman" w:eastAsia="Times New Roman" w:hAnsi="Times New Roman"/>
          <w:sz w:val="20"/>
          <w:szCs w:val="20"/>
          <w:color w:val="454546"/>
        </w:rPr>
      </w:pPr>
    </w:p>
    <w:p>
      <w:pPr>
        <w:ind w:left="1240" w:right="200" w:hanging="530"/>
        <w:spacing w:after="0" w:line="269" w:lineRule="auto"/>
        <w:tabs>
          <w:tab w:leader="none" w:pos="1240" w:val="left"/>
        </w:tabs>
        <w:numPr>
          <w:ilvl w:val="0"/>
          <w:numId w:val="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Unfavorable global macroeconomic conditions, geopolitical trends, and armed conflict, together with legislative, executive, and administrative actions meant to address these and other conditions, could adversely affect our business, financial condition or results of operations.</w:t>
      </w:r>
    </w:p>
    <w:p>
      <w:pPr>
        <w:sectPr>
          <w:pgSz w:w="11880" w:h="15480" w:orient="portrait"/>
          <w:cols w:equalWidth="0" w:num="1">
            <w:col w:w="10240"/>
          </w:cols>
          <w:pgMar w:left="820" w:top="50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w:t>
      </w:r>
    </w:p>
    <w:p>
      <w:pPr>
        <w:sectPr>
          <w:pgSz w:w="11880" w:h="15480" w:orient="portrait"/>
          <w:cols w:equalWidth="0" w:num="1">
            <w:col w:w="10240"/>
          </w:cols>
          <w:pgMar w:left="820" w:top="500" w:right="82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454546"/>
        </w:rPr>
        <w:t>PART I</w:t>
      </w:r>
    </w:p>
    <w:p>
      <w:pPr>
        <w:spacing w:after="0" w:line="25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i w:val="1"/>
          <w:iCs w:val="1"/>
          <w:color w:val="454546"/>
        </w:rPr>
        <w:t>Unless the context otherwise requires, the terms “Foghorn,” “Foghorn Therapeutics,” the “Company,” “we,” “us” and “our” relate to Foghorn Therapeutics Inc., together with its consolidated subsidiary.</w:t>
      </w:r>
    </w:p>
    <w:p>
      <w:pPr>
        <w:spacing w:after="0" w:line="2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1.</w:t>
      </w:r>
      <w:r>
        <w:rPr>
          <w:sz w:val="20"/>
          <w:szCs w:val="20"/>
          <w:color w:val="auto"/>
        </w:rPr>
        <w:tab/>
      </w:r>
      <w:r>
        <w:rPr>
          <w:rFonts w:ascii="Times New Roman" w:cs="Times New Roman" w:eastAsia="Times New Roman" w:hAnsi="Times New Roman"/>
          <w:sz w:val="19"/>
          <w:szCs w:val="19"/>
          <w:b w:val="1"/>
          <w:bCs w:val="1"/>
          <w:color w:val="454546"/>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454546"/>
        </w:rPr>
        <w:t>Foghorn is a clinical stage, precision therapeutics biotechnology company pioneering a new class of medicines that treat serious diseases by correcting abnormal gene expression through selectively targeting the chromatin regulatory system, an untapped opportunity for therapeutic intervention in oncology and with potential in a wide spectrum of other diseases, including immunology and inflammation.</w:t>
      </w: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454546"/>
        </w:rPr>
        <w:t>The chromatin regulatory system orchestrates gene expression</w:t>
      </w:r>
      <w:r>
        <w:rPr>
          <w:rFonts w:ascii="Times New Roman" w:cs="Times New Roman" w:eastAsia="Times New Roman" w:hAnsi="Times New Roman"/>
          <w:sz w:val="24"/>
          <w:szCs w:val="24"/>
          <w:b w:val="1"/>
          <w:bCs w:val="1"/>
          <w:color w:val="454546"/>
        </w:rPr>
        <w:t>—</w:t>
      </w:r>
      <w:r>
        <w:rPr>
          <w:rFonts w:ascii="Times New Roman" w:cs="Times New Roman" w:eastAsia="Times New Roman" w:hAnsi="Times New Roman"/>
          <w:sz w:val="20"/>
          <w:szCs w:val="20"/>
          <w:color w:val="454546"/>
        </w:rPr>
        <w:t>the turning on and off of genes</w:t>
      </w:r>
      <w:r>
        <w:rPr>
          <w:rFonts w:ascii="Times New Roman" w:cs="Times New Roman" w:eastAsia="Times New Roman" w:hAnsi="Times New Roman"/>
          <w:sz w:val="24"/>
          <w:szCs w:val="24"/>
          <w:b w:val="1"/>
          <w:bCs w:val="1"/>
          <w:color w:val="454546"/>
        </w:rPr>
        <w:t>—</w:t>
      </w:r>
      <w:r>
        <w:rPr>
          <w:rFonts w:ascii="Times New Roman" w:cs="Times New Roman" w:eastAsia="Times New Roman" w:hAnsi="Times New Roman"/>
          <w:sz w:val="20"/>
          <w:szCs w:val="20"/>
          <w:color w:val="454546"/>
        </w:rPr>
        <w:t>which is fundamental to how all our cells function. The chromatin regulatory system is implicated in approximately 50 percent of all cancers, and understanding how this system works could lead to an entirely new class of precision medicines. To our knowledge, we are the only company with the ability to study and target the chromatin regulatory system at scale, in context, and in an integrated way.</w:t>
      </w:r>
    </w:p>
    <w:p>
      <w:pPr>
        <w:spacing w:after="0" w:line="7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454546"/>
        </w:rPr>
        <w:t>Our proprietary Gene Traffic Control</w:t>
      </w:r>
      <w:r>
        <w:rPr>
          <w:rFonts w:ascii="Times New Roman" w:cs="Times New Roman" w:eastAsia="Times New Roman" w:hAnsi="Times New Roman"/>
          <w:sz w:val="25"/>
          <w:szCs w:val="25"/>
          <w:color w:val="454546"/>
          <w:vertAlign w:val="superscript"/>
        </w:rPr>
        <w:t>®</w:t>
      </w:r>
      <w:r>
        <w:rPr>
          <w:rFonts w:ascii="Times New Roman" w:cs="Times New Roman" w:eastAsia="Times New Roman" w:hAnsi="Times New Roman"/>
          <w:sz w:val="20"/>
          <w:szCs w:val="20"/>
          <w:color w:val="454546"/>
        </w:rPr>
        <w:t xml:space="preserve"> platform provides an integrated and mechanistic understanding of how the various components of the chromatin regulatory system interact, allowing us to identify, validate and potentially drug targets within this system. We have developed unique capabilities that have yielded new insights and scalability in drugging this new, previously untapped and promising area.</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454546"/>
        </w:rPr>
        <w:t>At present, we are working on more than seven programs with one clinical-stage drug candidate currently in Phase 1 development. We have discovered highly selective chemical matter for some of the most challenging targets in oncology including SMARCA2 (BRM), CBP, EP300 and ARID1B, as well as other undisclosed targets. We believe our current pipeline has the potential to help more than 500,000 cancer patients. We take a small molecule modality agnostic approach to drugging targets which includes protein degraders, allosteric enzymatic inhibitors, and transcription factor disruptors. We are a biology first company, which means we focus first on the underlying genetics and biology of a disease relevant target and then leverage the most appropriate drugging approach to impact the disease biology.</w:t>
      </w:r>
    </w:p>
    <w:p>
      <w:pPr>
        <w:spacing w:after="0" w:line="8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color w:val="454546"/>
        </w:rPr>
        <w:t>As part of our collaboration with Eli Lilly and Company (“Lilly”), Lilly has initiated a Phase 1 dose escalation trial with FHD-909 (LY4050784), a selective ATPase inhibitor of SMARCA2, with first patient dosed in October 2024.</w:t>
      </w:r>
    </w:p>
    <w:p>
      <w:pPr>
        <w:spacing w:after="0" w:line="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454546"/>
        </w:rPr>
        <w:t>We believe Foghorn has the potential to be a major biopharmaceutical company with our current pipeline addressing more than 20 tumor types impacting more than 500,000 patients annually. We believe that we have the potential to file four Investigational New Drug Applications (“INDs”) over the next two years.</w:t>
      </w:r>
    </w:p>
    <w:p>
      <w:pPr>
        <w:sectPr>
          <w:pgSz w:w="11880" w:h="15480" w:orient="portrait"/>
          <w:cols w:equalWidth="0" w:num="1">
            <w:col w:w="10240"/>
          </w:cols>
          <w:pgMar w:left="820" w:top="50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w:t>
      </w:r>
    </w:p>
    <w:p>
      <w:pPr>
        <w:sectPr>
          <w:pgSz w:w="11880" w:h="15480" w:orient="portrait"/>
          <w:cols w:equalWidth="0" w:num="1">
            <w:col w:w="10240"/>
          </w:cols>
          <w:pgMar w:left="820" w:top="500" w:right="82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454546"/>
        </w:rPr>
        <w:t>Our current pipeline of product candidates and discovery programs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6510020" cy="3779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510020" cy="3779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454546"/>
        </w:rPr>
        <w:t>In December 2021, we entered into a strategic collaboration agreement with Lilly (the “Lilly Collaboration Agreement”). Under the terms of the Lilly Collaboration Agreement, we are leveraging our platform technology to discover and develop therapeutic molecules directed to the SMARCA2 target and an additional undisclosed oncology target, and up to three additional discovery programs. FHD-909 is a first-in-class oral SMARCA2 selective inhibitor that has demonstrated in preclinical studies to have high selectivity over its closely related paralog SMARCA4 (BRG1), two proteins that are the catalytic engines across all forms of the BAF complex. Selectively blocking SMARCA2 activity is a promising synthetic lethal strategy intended to induce tumor death while sparing healthy cells. SMARCA4 is mutated in up to 10 percent of non-small cell lung cancer (“NSCLC”) and implicated in a significant number of solid tumors. In October 2024, we announced that the first patient had been dosed in the Phase 1 trial for FHD-909 in SMARCA4 mutated cancers, with NSCLC as the primary patient population.</w:t>
      </w:r>
    </w:p>
    <w:p>
      <w:pPr>
        <w:spacing w:after="0" w:line="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color w:val="454546"/>
        </w:rPr>
        <w:t>We believe this strategic collaboration confirms the rigor of our science, highlights the importance of the targets we are tackling and underscores the relevance of the biology on which we are focused.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How the Chromatin Regulatory System Orchestrates Gene Expression</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454546"/>
        </w:rPr>
        <w:t>The major components of the chromatin regulatory system are chromatin remodeling complexes, transcription factors, helicases and other chromatin related factors which work in concert to orchestrate gene expression. One important role for this system is to control the accessibility of chromatin which in turn determines if other factors necessary for gene expression can access the genetic material. In addition, the system controls the structure, modification, and repair of chromatin which are all necessary for the proper control of gene expression. Because of the central role this system plays in orchestrating normal gene expression, aberrations in the system may result in disease. We believe our platform is uniquely suited to address these aberrations and treat these diseases.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Our Gene Traffic Control Platform</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454546"/>
        </w:rPr>
        <w:t>Our proprietary Gene Traffic Control platform gives us an integrated and mechanistic understanding of how the various components of the chromatin regulatory system interact, allowing us to identify, validate and drug targets within the system. In cancer, the mutations that are in or impinge on the chromatin regulatory system create genetically determined dependencies, on which the cancer cells rely for survival. These genetic dependencies result in diseased cell vulnerabilities, creating potential opportunities to selectively drug and kill diseased cells while minimizing impact to healthy cells. Our platform enables us to produce components of the chromatin regulatory system at scale, thereby allowing us to identify these genetic dependencies, understand their mechanism and target their vulnerabilities. We combine our genomic and epigenomic tools, our proprietary high throughput screening technology and our expertise in medicinal chemistry to develop enzymatic inhibitors, protein</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w:t>
      </w:r>
    </w:p>
    <w:p>
      <w:pPr>
        <w:sectPr>
          <w:pgSz w:w="11880" w:h="15480" w:orient="portrait"/>
          <w:cols w:equalWidth="0" w:num="1">
            <w:col w:w="10240"/>
          </w:cols>
          <w:pgMar w:left="820" w:top="504" w:right="820" w:bottom="0" w:gutter="0" w:footer="0" w:header="0"/>
          <w:type w:val="continuous"/>
        </w:sectPr>
      </w:pPr>
    </w:p>
    <w:bookmarkStart w:id="8" w:name="page9"/>
    <w:bookmarkEnd w:id="8"/>
    <w:p>
      <w:pPr>
        <w:ind w:left="20" w:right="260"/>
        <w:spacing w:after="0" w:line="287" w:lineRule="auto"/>
        <w:rPr>
          <w:sz w:val="20"/>
          <w:szCs w:val="20"/>
          <w:color w:val="auto"/>
        </w:rPr>
      </w:pPr>
      <w:r>
        <w:rPr>
          <w:rFonts w:ascii="Times New Roman" w:cs="Times New Roman" w:eastAsia="Times New Roman" w:hAnsi="Times New Roman"/>
          <w:sz w:val="20"/>
          <w:szCs w:val="20"/>
          <w:color w:val="454546"/>
        </w:rPr>
        <w:t>degraders and transcription factor disruptors that target the chromatin regulatory system. While initially focused in oncology, we believe our platform is broadly applicable across other disease areas.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Our Gene Traffic Control platform encompasses the following:</w:t>
      </w:r>
    </w:p>
    <w:p>
      <w:pPr>
        <w:spacing w:after="0" w:line="126" w:lineRule="exact"/>
        <w:rPr>
          <w:sz w:val="20"/>
          <w:szCs w:val="20"/>
          <w:color w:val="auto"/>
        </w:rPr>
      </w:pPr>
    </w:p>
    <w:p>
      <w:pPr>
        <w:ind w:left="1100" w:right="60" w:hanging="549"/>
        <w:spacing w:after="0" w:line="260" w:lineRule="auto"/>
        <w:tabs>
          <w:tab w:leader="none" w:pos="1100" w:val="left"/>
        </w:tabs>
        <w:numPr>
          <w:ilvl w:val="0"/>
          <w:numId w:val="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Target Identification and Validation—</w:t>
      </w:r>
      <w:r>
        <w:rPr>
          <w:rFonts w:ascii="Times New Roman" w:cs="Times New Roman" w:eastAsia="Times New Roman" w:hAnsi="Times New Roman"/>
          <w:sz w:val="20"/>
          <w:szCs w:val="20"/>
          <w:color w:val="454546"/>
        </w:rPr>
        <w:t>We use genomic screens, and a suite of epigenome sequencing and</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computational tools, including aspects of artificial intelligence and machine learning, to characterize, identify, and validate targets within the chromatin regulatory system. Our epigenome sequencing tools allow us to understand the mechanisms of how our drugs are modifying the chromatin structure. Our platform allows for the identification of genetically determined dependencies associated with the chromatin regulatory system.</w:t>
      </w:r>
    </w:p>
    <w:p>
      <w:pPr>
        <w:spacing w:after="0" w:line="74" w:lineRule="exact"/>
        <w:rPr>
          <w:rFonts w:ascii="Times New Roman" w:cs="Times New Roman" w:eastAsia="Times New Roman" w:hAnsi="Times New Roman"/>
          <w:sz w:val="20"/>
          <w:szCs w:val="20"/>
          <w:color w:val="454546"/>
        </w:rPr>
      </w:pPr>
    </w:p>
    <w:p>
      <w:pPr>
        <w:ind w:left="1100" w:right="60" w:hanging="549"/>
        <w:spacing w:after="0" w:line="260" w:lineRule="auto"/>
        <w:tabs>
          <w:tab w:leader="none" w:pos="1100" w:val="left"/>
        </w:tabs>
        <w:numPr>
          <w:ilvl w:val="0"/>
          <w:numId w:val="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Production of Chromatin Regulatory System Components at Scale and Proprietary Assays—</w:t>
      </w:r>
      <w:r>
        <w:rPr>
          <w:rFonts w:ascii="Times New Roman" w:cs="Times New Roman" w:eastAsia="Times New Roman" w:hAnsi="Times New Roman"/>
          <w:sz w:val="20"/>
          <w:szCs w:val="20"/>
          <w:color w:val="454546"/>
        </w:rPr>
        <w:t>We have built</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unique capabilities to purify and synthesize chromatin remodeling complexes, transcription factors, helicases, and other chromatin related factors. These capabilities allow us to study the chromatin regulatory system at scale and in a context that, to our knowledge, is unavailable to others, and yields unique insights that are critical to systematically drugging this system.</w:t>
      </w:r>
    </w:p>
    <w:p>
      <w:pPr>
        <w:spacing w:after="0" w:line="74" w:lineRule="exact"/>
        <w:rPr>
          <w:rFonts w:ascii="Times New Roman" w:cs="Times New Roman" w:eastAsia="Times New Roman" w:hAnsi="Times New Roman"/>
          <w:sz w:val="20"/>
          <w:szCs w:val="20"/>
          <w:color w:val="454546"/>
        </w:rPr>
      </w:pPr>
    </w:p>
    <w:p>
      <w:pPr>
        <w:ind w:left="1100" w:right="60" w:hanging="549"/>
        <w:spacing w:after="0" w:line="258" w:lineRule="auto"/>
        <w:tabs>
          <w:tab w:leader="none" w:pos="1100" w:val="left"/>
        </w:tabs>
        <w:numPr>
          <w:ilvl w:val="0"/>
          <w:numId w:val="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Discovery and Optimization of Chemical Matter—</w:t>
      </w:r>
      <w:r>
        <w:rPr>
          <w:rFonts w:ascii="Times New Roman" w:cs="Times New Roman" w:eastAsia="Times New Roman" w:hAnsi="Times New Roman"/>
          <w:sz w:val="20"/>
          <w:szCs w:val="20"/>
          <w:color w:val="454546"/>
        </w:rPr>
        <w:t>We perform proprietary high throughput screens that</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leverage our ability to produce the chromatin regulatory system components at scale. For example, we are able to screen for inhibitors of chromatin regulatory system component activity, for binders that we can turn into protein degraders, and for disruptors of transcription factor-chromatin remodeling complex interactions. Once we identify hits from our screens, we use our unique suite of assays involving the relevant component of the chromatin regulatory system to characterize, validate, and optimize our chemical matter.</w:t>
      </w:r>
    </w:p>
    <w:p>
      <w:pPr>
        <w:spacing w:after="0" w:line="76" w:lineRule="exact"/>
        <w:rPr>
          <w:rFonts w:ascii="Times New Roman" w:cs="Times New Roman" w:eastAsia="Times New Roman" w:hAnsi="Times New Roman"/>
          <w:sz w:val="20"/>
          <w:szCs w:val="20"/>
          <w:color w:val="454546"/>
        </w:rPr>
      </w:pPr>
    </w:p>
    <w:p>
      <w:pPr>
        <w:ind w:left="1100" w:right="40" w:hanging="549"/>
        <w:spacing w:after="0" w:line="255" w:lineRule="auto"/>
        <w:tabs>
          <w:tab w:leader="none" w:pos="1100" w:val="left"/>
        </w:tabs>
        <w:numPr>
          <w:ilvl w:val="0"/>
          <w:numId w:val="5"/>
        </w:numPr>
        <w:rPr>
          <w:rFonts w:ascii="Times New Roman" w:cs="Times New Roman" w:eastAsia="Times New Roman" w:hAnsi="Times New Roman"/>
          <w:sz w:val="20"/>
          <w:szCs w:val="20"/>
          <w:b w:val="1"/>
          <w:bCs w:val="1"/>
          <w:color w:val="454546"/>
        </w:rPr>
      </w:pPr>
      <w:r>
        <w:rPr>
          <w:rFonts w:ascii="Times New Roman" w:cs="Times New Roman" w:eastAsia="Times New Roman" w:hAnsi="Times New Roman"/>
          <w:sz w:val="20"/>
          <w:szCs w:val="20"/>
          <w:b w:val="1"/>
          <w:bCs w:val="1"/>
          <w:color w:val="454546"/>
        </w:rPr>
        <w:t>Targeted Protein Degradation—</w:t>
      </w:r>
      <w:r>
        <w:rPr>
          <w:rFonts w:ascii="Times New Roman" w:cs="Times New Roman" w:eastAsia="Times New Roman" w:hAnsi="Times New Roman"/>
          <w:sz w:val="20"/>
          <w:szCs w:val="20"/>
          <w:color w:val="454546"/>
        </w:rPr>
        <w:t>We have built extensive targeted protein degrader capabilities encompassing</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proprietary chemistry, high-throughput cellular screening capabilities, mechanistic assays to triage and rank compounds against multiple parameters including kinetics of degradation, and ternary complex formation understanding through both biophysical structural determination and computational modeling. We develop both heterobifunctional degraders and molecular glues that serve to bridge an interaction between an E3 ligase and target protein of interest. This induced proximity results in driving the target protein of interest for degradation via the ubiquitin-proteasome pathway. A demonstrated strength of our platform is leveraging degradation to enable selectivity, which we have done for several programs including SMARCA2, CBP, EP300 and ARID1B. We have developed capabilities with long-acting formulation of our protein degraders, which we believe have the potential to enable enhanced convenience and route of administration.</w:t>
      </w:r>
    </w:p>
    <w:p>
      <w:pPr>
        <w:spacing w:after="0" w:line="76" w:lineRule="exact"/>
        <w:rPr>
          <w:rFonts w:ascii="Times New Roman" w:cs="Times New Roman" w:eastAsia="Times New Roman" w:hAnsi="Times New Roman"/>
          <w:sz w:val="20"/>
          <w:szCs w:val="20"/>
          <w:b w:val="1"/>
          <w:bCs w:val="1"/>
          <w:color w:val="454546"/>
        </w:rPr>
      </w:pPr>
    </w:p>
    <w:p>
      <w:pPr>
        <w:ind w:left="1100" w:right="260" w:hanging="550"/>
        <w:spacing w:after="0" w:line="260" w:lineRule="auto"/>
        <w:tabs>
          <w:tab w:leader="none" w:pos="1100" w:val="left"/>
        </w:tabs>
        <w:numPr>
          <w:ilvl w:val="0"/>
          <w:numId w:val="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Translation to Clinic and Identification of Biomarkers</w:t>
      </w:r>
      <w:r>
        <w:rPr>
          <w:rFonts w:ascii="Times New Roman" w:cs="Times New Roman" w:eastAsia="Times New Roman" w:hAnsi="Times New Roman"/>
          <w:sz w:val="20"/>
          <w:szCs w:val="20"/>
          <w:color w:val="454546"/>
        </w:rPr>
        <w:t>—Early in the drug discovery process, we use various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genome and epigenome analyses to understand the mechanism of the genetic dependency of the disease on the chromatin regulatory system. Our understanding of the mechanism of the dependency enables us to identify biomarkers for patient identification and treatment. We seek to enrich our clinical studies with the genetically relevant patient populations that are most likely to benefit from treatment.</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454546"/>
        </w:rPr>
        <w:t>Our Leadership</w:t>
      </w:r>
    </w:p>
    <w:p>
      <w:pPr>
        <w:spacing w:after="0" w:line="13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454546"/>
        </w:rPr>
        <w:t>We have assembled a team with deep scientific, clinical, manufacturing, business, and leadership expertise in biotechnology, platform research, drug discovery, and development. Our management team has extensive experience discovering, developing, and commercializing drugs to treat patients with serious diseases. Adrian Gottschalk, our President and Chief Executive Officer, has more than 20 years of experience as a biopharmaceutical executive. Prior to joining Foghorn, Mr. Gottschalk served in various roles at Biogen, Inc., where he was most recently Senior Vice President and Neurodegeneration Therapeutic Area Head. In this role, he was responsible for late-stage development and commercialization of drugs to treat Alzheimer’s disease, Parkinson’s disease, and amyotrophic lateral sclerosis. Our Chief Medical Officer, Alfonso Quintas-Cardama, M.D., previously served as Chief Medical Officer at TCR</w:t>
      </w:r>
      <w:r>
        <w:rPr>
          <w:rFonts w:ascii="Times New Roman" w:cs="Times New Roman" w:eastAsia="Times New Roman" w:hAnsi="Times New Roman"/>
          <w:sz w:val="25"/>
          <w:szCs w:val="25"/>
          <w:color w:val="454546"/>
          <w:vertAlign w:val="superscript"/>
        </w:rPr>
        <w:t>2</w:t>
      </w:r>
      <w:r>
        <w:rPr>
          <w:rFonts w:ascii="Times New Roman" w:cs="Times New Roman" w:eastAsia="Times New Roman" w:hAnsi="Times New Roman"/>
          <w:sz w:val="20"/>
          <w:szCs w:val="20"/>
          <w:color w:val="454546"/>
        </w:rPr>
        <w:t xml:space="preserve"> and led the development of their cell therapy platform. Our Chief Scientific Officer, Steven Bellon, PhD., has more than 25 years of drug discovery experience from multiple drug classes with prior roles at Vertex Pharmaceuticals, Amgen, and Constellation Therapeutics. We have assembled an exceptional team of 106 employees as of December 31, 2025.</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454546"/>
        </w:rPr>
        <w:t>Our Strategy</w:t>
      </w:r>
    </w:p>
    <w:p>
      <w:pPr>
        <w:spacing w:after="0" w:line="134" w:lineRule="exact"/>
        <w:rPr>
          <w:sz w:val="20"/>
          <w:szCs w:val="20"/>
          <w:color w:val="auto"/>
        </w:rPr>
      </w:pPr>
    </w:p>
    <w:p>
      <w:pPr>
        <w:ind w:left="20" w:right="160"/>
        <w:spacing w:after="0" w:line="269" w:lineRule="auto"/>
        <w:rPr>
          <w:sz w:val="20"/>
          <w:szCs w:val="20"/>
          <w:color w:val="auto"/>
        </w:rPr>
      </w:pPr>
      <w:r>
        <w:rPr>
          <w:rFonts w:ascii="Times New Roman" w:cs="Times New Roman" w:eastAsia="Times New Roman" w:hAnsi="Times New Roman"/>
          <w:sz w:val="20"/>
          <w:szCs w:val="20"/>
          <w:color w:val="454546"/>
        </w:rPr>
        <w:t>Our mission is to leverage our unique insights into the chromatin regulatory system to pioneer the discovery, development and commercialization of a new class of therapies that transform the lives of patients suffering from a wide spectrum of diseases with high unmet need.</w:t>
      </w:r>
    </w:p>
    <w:p>
      <w:pPr>
        <w:sectPr>
          <w:pgSz w:w="11880" w:h="15480" w:orient="portrait"/>
          <w:cols w:equalWidth="0" w:num="1">
            <w:col w:w="10280"/>
          </w:cols>
          <w:pgMar w:left="800" w:top="5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w:t>
      </w:r>
    </w:p>
    <w:p>
      <w:pPr>
        <w:sectPr>
          <w:pgSz w:w="11880" w:h="15480" w:orient="portrait"/>
          <w:cols w:equalWidth="0" w:num="1">
            <w:col w:w="10280"/>
          </w:cols>
          <w:pgMar w:left="800" w:top="504" w:right="800" w:bottom="0" w:gutter="0" w:footer="0" w:header="0"/>
          <w:type w:val="continuous"/>
        </w:sectPr>
      </w:pPr>
    </w:p>
    <w:bookmarkStart w:id="9" w:name="page10"/>
    <w:bookmarkEnd w:id="9"/>
    <w:p>
      <w:pPr>
        <w:ind w:left="20" w:right="240"/>
        <w:spacing w:after="0" w:line="269" w:lineRule="auto"/>
        <w:rPr>
          <w:sz w:val="20"/>
          <w:szCs w:val="20"/>
          <w:color w:val="auto"/>
        </w:rPr>
      </w:pPr>
      <w:r>
        <w:rPr>
          <w:rFonts w:ascii="Times New Roman" w:cs="Times New Roman" w:eastAsia="Times New Roman" w:hAnsi="Times New Roman"/>
          <w:sz w:val="20"/>
          <w:szCs w:val="20"/>
          <w:color w:val="454546"/>
        </w:rPr>
        <w:t>Our approach is to identify and drug genetically determined dependencies within the chromatin regulatory system. Our initial focus is in cancer with a precision oncology approach. Every program we have pursued to date is based on a genetic dependency on the chromatin regulatory system.</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To achieve our mission, we are executing a strategy with the following key elements:</w:t>
      </w:r>
    </w:p>
    <w:p>
      <w:pPr>
        <w:spacing w:after="0" w:line="126" w:lineRule="exact"/>
        <w:rPr>
          <w:sz w:val="20"/>
          <w:szCs w:val="20"/>
          <w:color w:val="auto"/>
        </w:rPr>
      </w:pPr>
    </w:p>
    <w:p>
      <w:pPr>
        <w:ind w:left="1100" w:hanging="549"/>
        <w:spacing w:after="0" w:line="257" w:lineRule="auto"/>
        <w:tabs>
          <w:tab w:leader="none" w:pos="110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Advance our lead precision oncology product candidate, FHD-909, through clinical development in patients with NSCLC and with select solid tumors with partner Lilly. </w:t>
      </w:r>
      <w:r>
        <w:rPr>
          <w:rFonts w:ascii="Times New Roman" w:cs="Times New Roman" w:eastAsia="Times New Roman" w:hAnsi="Times New Roman"/>
          <w:sz w:val="20"/>
          <w:szCs w:val="20"/>
          <w:color w:val="454546"/>
        </w:rPr>
        <w:t>FHD-909 is a first-in-class oral SMARCA2</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selective inhibitor that has demonstrated in preclinical studies to have high selectivity over its closely related paralog SMARCA4, two proteins that are the catalytic engines across all forms of the BAF complex. Selectively blocking SMARCA2 activity is a promising synthetic lethal strategy intended to induce tumor death while sparing healthy cells. SMARCA4 is mutated in up to 10 percent of NSCLC and implicated in a significant number of solid tumors.</w:t>
      </w:r>
    </w:p>
    <w:p>
      <w:pPr>
        <w:spacing w:after="0" w:line="76" w:lineRule="exact"/>
        <w:rPr>
          <w:rFonts w:ascii="Times New Roman" w:cs="Times New Roman" w:eastAsia="Times New Roman" w:hAnsi="Times New Roman"/>
          <w:sz w:val="20"/>
          <w:szCs w:val="20"/>
          <w:color w:val="454546"/>
        </w:rPr>
      </w:pPr>
    </w:p>
    <w:p>
      <w:pPr>
        <w:ind w:left="1100" w:right="60" w:hanging="549"/>
        <w:spacing w:after="0" w:line="256" w:lineRule="auto"/>
        <w:tabs>
          <w:tab w:leader="none" w:pos="110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Expand our precision oncology pipeline by developing proprietary enzymatic inhibitors, degraders and disruptors that target genetically defined dependencies. </w:t>
      </w:r>
      <w:r>
        <w:rPr>
          <w:rFonts w:ascii="Times New Roman" w:cs="Times New Roman" w:eastAsia="Times New Roman" w:hAnsi="Times New Roman"/>
          <w:sz w:val="20"/>
          <w:szCs w:val="20"/>
          <w:color w:val="454546"/>
        </w:rPr>
        <w:t>Based on our unique insights and understanding of the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chromatin regulatory system, we continue to develop proprietary selective inhibitors, protein degraders and disruptors that modulate various components of the chromatin regulatory system. For example, using our proprietary platform, we have disclosed four distinct targets: SMARCA2, CBP, EP300 and ARID1B , that have genetically determined dependencies within the chromatin regulatory system. We intend to use our platform to develop novel product candidates to further deepen our precision therapeutics approach in oncology and beyond and believe we have the potential to file four INDs over the next two years.</w:t>
      </w:r>
    </w:p>
    <w:p>
      <w:pPr>
        <w:spacing w:after="0" w:line="77" w:lineRule="exact"/>
        <w:rPr>
          <w:rFonts w:ascii="Times New Roman" w:cs="Times New Roman" w:eastAsia="Times New Roman" w:hAnsi="Times New Roman"/>
          <w:sz w:val="20"/>
          <w:szCs w:val="20"/>
          <w:color w:val="454546"/>
        </w:rPr>
      </w:pPr>
    </w:p>
    <w:p>
      <w:pPr>
        <w:ind w:left="1100" w:right="200" w:hanging="550"/>
        <w:spacing w:after="0" w:line="274" w:lineRule="auto"/>
        <w:tabs>
          <w:tab w:leader="none" w:pos="1100" w:val="left"/>
        </w:tabs>
        <w:numPr>
          <w:ilvl w:val="0"/>
          <w:numId w:val="6"/>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b w:val="1"/>
          <w:bCs w:val="1"/>
          <w:color w:val="454546"/>
        </w:rPr>
        <w:t xml:space="preserve">Harness our platform to develop novel product candidates to address therapeutic areas beyond oncology. </w:t>
      </w:r>
      <w:r>
        <w:rPr>
          <w:rFonts w:ascii="Times New Roman" w:cs="Times New Roman" w:eastAsia="Times New Roman" w:hAnsi="Times New Roman"/>
          <w:sz w:val="19"/>
          <w:szCs w:val="19"/>
          <w:color w:val="454546"/>
        </w:rPr>
        <w:t>As the orchestrator of gene expression, the chromatin regulatory system has implications in a large array of diseases. Based on academic literature and our research efforts, we believe our platform has significant potential across multiple therapeutic areas. We are committed to applying our Gene Traffic Control platform to additional therapeutic areas over time. We believe our platform will allow us to continue to build a long-term pipeline of novel product candidates to address areas of high unmet medical need in oncology and other therapeutic areas.</w:t>
      </w:r>
    </w:p>
    <w:p>
      <w:pPr>
        <w:spacing w:after="0" w:line="63" w:lineRule="exact"/>
        <w:rPr>
          <w:rFonts w:ascii="Times New Roman" w:cs="Times New Roman" w:eastAsia="Times New Roman" w:hAnsi="Times New Roman"/>
          <w:sz w:val="19"/>
          <w:szCs w:val="19"/>
          <w:color w:val="454546"/>
        </w:rPr>
      </w:pPr>
    </w:p>
    <w:p>
      <w:pPr>
        <w:ind w:left="1080" w:right="60" w:hanging="530"/>
        <w:spacing w:after="0" w:line="260" w:lineRule="auto"/>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Continue to enhance our platform to extend our leading position in developing novel therapeutics targeting the chromatin regulatory system. </w:t>
      </w:r>
      <w:r>
        <w:rPr>
          <w:rFonts w:ascii="Times New Roman" w:cs="Times New Roman" w:eastAsia="Times New Roman" w:hAnsi="Times New Roman"/>
          <w:sz w:val="20"/>
          <w:szCs w:val="20"/>
          <w:color w:val="454546"/>
        </w:rPr>
        <w:t>Our platform and unique understanding of the chromatin regulatory system is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built upon the groundbreaking work of our academic co-founders and has been further developed by our experienced team. We are committed to continuously integrating new insights, tools, technologies and capabilities to enhance our platform.</w:t>
      </w:r>
    </w:p>
    <w:p>
      <w:pPr>
        <w:spacing w:after="0" w:line="74" w:lineRule="exact"/>
        <w:rPr>
          <w:rFonts w:ascii="Times New Roman" w:cs="Times New Roman" w:eastAsia="Times New Roman" w:hAnsi="Times New Roman"/>
          <w:sz w:val="20"/>
          <w:szCs w:val="20"/>
          <w:color w:val="454546"/>
        </w:rPr>
      </w:pPr>
    </w:p>
    <w:p>
      <w:pPr>
        <w:ind w:left="1080" w:right="240" w:hanging="530"/>
        <w:spacing w:after="0" w:line="255" w:lineRule="auto"/>
        <w:tabs>
          <w:tab w:leader="none" w:pos="1080" w:val="left"/>
        </w:tabs>
        <w:numPr>
          <w:ilvl w:val="0"/>
          <w:numId w:val="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Selectively enter into additional strategic partnerships to maximize the potential of our pipeline and our platform. </w:t>
      </w:r>
      <w:r>
        <w:rPr>
          <w:rFonts w:ascii="Times New Roman" w:cs="Times New Roman" w:eastAsia="Times New Roman" w:hAnsi="Times New Roman"/>
          <w:sz w:val="20"/>
          <w:szCs w:val="20"/>
          <w:color w:val="454546"/>
        </w:rPr>
        <w:t>Given the breadth of opportunities that are implicated by the chromatin regulatory system and the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versatility of our platform, we may opportunistically enter into strategic collaborations intended to advance and accelerate our development programs, expand into new therapeutic areas and enhance the capabilities of our platform. In December 2021, we entered into a strategic collaboration with Lilly to create novel oncology medicines. The Lilly collaboration includes a U.S. co-development and co-commercialization agreement for the selective SMARCA2 oncology program and an additional undisclosed oncology target. In addition, the collaboration includes three additional discovery programs using Foghorn’s proprietary Gene Traffic Control platform.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Chromatin Regulatory System: An Untapped Opportunity for Therapeutic Intervention</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454546"/>
        </w:rPr>
        <w:t>The major components of the chromatin regulatory system are chromatin remodeling complexes, transcription factors, helicases and other chromatin related factors which work in concert to orchestrate gene expression. One important role for this system is to control the accessibility of chromatin which in turn determines if other factors necessary for gene expression can access the genetic material. In addition, the system controls the structure, modification, and repair of chromatin which are all necessary for proper control of gene expression. Because of the central role this system plays in orchestrating normal gene expression, aberrations in the system may result in disease. Our platform is uniquely suited to correct these aberrations and treat these diseases.</w:t>
      </w:r>
    </w:p>
    <w:p>
      <w:pPr>
        <w:spacing w:after="0" w:line="8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454546"/>
        </w:rPr>
        <w:t>While chromatin remodeling complexes have been known in the scientific community for decades, disease relevance was not initially recognized, and consequently chromatin remodeling complexes were underappreciated as a set of relevant drug targets. Transcription factors, helicases and other chromatin related factors, on the other hand, while linked decades ago to cancer and understood as relevant targets, have led to few approved oncology drugs, as companies seeking to drug these targets have historically lacked a systematic approach to doing so. Broad cancer sequencing initiatives have shown that mutations in the chromatin regulatory system are found in over 50 percent of all cancers, potentially impacting over 2.5 million cancer patients across the United States, Europe and Japan. Further work in the field has highlighted the association of this system in other</w:t>
      </w:r>
    </w:p>
    <w:p>
      <w:pPr>
        <w:sectPr>
          <w:pgSz w:w="11880" w:h="15480" w:orient="portrait"/>
          <w:cols w:equalWidth="0" w:num="1">
            <w:col w:w="10280"/>
          </w:cols>
          <w:pgMar w:left="800" w:top="504" w:right="800" w:bottom="0" w:gutter="0" w:footer="0" w:header="0"/>
        </w:sect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w:t>
      </w:r>
    </w:p>
    <w:p>
      <w:pPr>
        <w:sectPr>
          <w:pgSz w:w="11880" w:h="15480" w:orient="portrait"/>
          <w:cols w:equalWidth="0" w:num="1">
            <w:col w:w="10280"/>
          </w:cols>
          <w:pgMar w:left="800" w:top="504" w:right="800" w:bottom="0" w:gutter="0" w:footer="0" w:header="0"/>
          <w:type w:val="continuous"/>
        </w:sectPr>
      </w:pPr>
    </w:p>
    <w:bookmarkStart w:id="10" w:name="page11"/>
    <w:bookmarkEnd w:id="10"/>
    <w:p>
      <w:pPr>
        <w:ind w:right="560"/>
        <w:spacing w:after="0" w:line="287" w:lineRule="auto"/>
        <w:rPr>
          <w:sz w:val="20"/>
          <w:szCs w:val="20"/>
          <w:color w:val="auto"/>
        </w:rPr>
      </w:pPr>
      <w:r>
        <w:rPr>
          <w:rFonts w:ascii="Times New Roman" w:cs="Times New Roman" w:eastAsia="Times New Roman" w:hAnsi="Times New Roman"/>
          <w:sz w:val="20"/>
          <w:szCs w:val="20"/>
          <w:color w:val="454546"/>
        </w:rPr>
        <w:t>therapeutic areas, including virology, autoimmune disease and neurology, implying even greater potential for therapeutic intervention.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Vulnerabilities in Cancer Created by Genetic Dependencies on the Chromatin Regulatory System</w:t>
      </w:r>
    </w:p>
    <w:p>
      <w:pPr>
        <w:spacing w:after="0" w:line="12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454546"/>
        </w:rPr>
        <w:t>Cancer cells often contain many different mutations that lead to their abnormal growth and proliferation. Within cancer cells, these mutations give rise to genetically determined dependencies, upon which the cancer cells rely for their survival. The creation of these dependencies can be directly related to the mutation or to other cellular biology, thereby creating vulnerabilities for cancer cells and the opportunity for therapeutic intervention. In contrast, healthy cells, which lack these mutations and therefore these dependencies, are less susceptible to a therapeutic that targets these genetically determined dependencies.</w:t>
      </w:r>
    </w:p>
    <w:p>
      <w:pPr>
        <w:spacing w:after="0" w:line="83"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454546"/>
        </w:rPr>
        <w:t>Genetically determined dependencies may arise from mutations in various components of the chromatin regulatory system (e.g., chromatin remodeling complexes, helicases, transcription factors, chromatin related factors) or through mutations elsewhere in the cell that create dependencies on the system.</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454546"/>
        </w:rPr>
        <w:t>Our platform enables us to identify these genetic dependencies and thereby discover the cancer cells’ vulnerability within the chromatin regulatory system. We believe these vulnerabilities create opportunities to selectively drug and kill cancer cells while minimizing impact to healthy cells. These genetically determined dependencies enable us to select specific patient populations and enrich our clinical trials using a precision approach. Every program we have pursued to date is based on a genetically determined dependency on the chromatin regulatory system.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Approach to Drugging the Chromatin Regulatory System</w:t>
      </w:r>
    </w:p>
    <w:p>
      <w:pPr>
        <w:spacing w:after="0" w:line="13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454546"/>
        </w:rPr>
        <w:t>We are focused on developing small molecule product candidates that target the chromatin regulatory system through the use of enzyme inhibitors and protein degraders .</w:t>
      </w:r>
    </w:p>
    <w:p>
      <w:pPr>
        <w:spacing w:after="0" w:line="46" w:lineRule="exact"/>
        <w:rPr>
          <w:sz w:val="20"/>
          <w:szCs w:val="20"/>
          <w:color w:val="auto"/>
        </w:rPr>
      </w:pPr>
    </w:p>
    <w:p>
      <w:pPr>
        <w:ind w:left="1080" w:right="60" w:hanging="549"/>
        <w:spacing w:after="0" w:line="271" w:lineRule="auto"/>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Enzyme inhibitors</w:t>
      </w:r>
      <w:r>
        <w:rPr>
          <w:rFonts w:ascii="Times New Roman" w:cs="Times New Roman" w:eastAsia="Times New Roman" w:hAnsi="Times New Roman"/>
          <w:sz w:val="20"/>
          <w:szCs w:val="20"/>
          <w:color w:val="454546"/>
        </w:rPr>
        <w:t>. These candidates have the potential to act on targets such as the ATPase SMARCA2 of the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BAF complex. Our screening capabilities enable us to find allosteric inhibitors which afford additional selectivity over orthosteric, or direct, inhibitors.</w:t>
      </w:r>
    </w:p>
    <w:p>
      <w:pPr>
        <w:spacing w:after="0" w:line="60" w:lineRule="exact"/>
        <w:rPr>
          <w:rFonts w:ascii="Times New Roman" w:cs="Times New Roman" w:eastAsia="Times New Roman" w:hAnsi="Times New Roman"/>
          <w:sz w:val="20"/>
          <w:szCs w:val="20"/>
          <w:color w:val="454546"/>
        </w:rPr>
      </w:pPr>
    </w:p>
    <w:p>
      <w:pPr>
        <w:ind w:left="1080" w:right="180" w:hanging="549"/>
        <w:spacing w:after="0" w:line="271" w:lineRule="auto"/>
        <w:tabs>
          <w:tab w:leader="none" w:pos="1080" w:val="left"/>
        </w:tabs>
        <w:numPr>
          <w:ilvl w:val="0"/>
          <w:numId w:val="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Protein degraders</w:t>
      </w:r>
      <w:r>
        <w:rPr>
          <w:rFonts w:ascii="Times New Roman" w:cs="Times New Roman" w:eastAsia="Times New Roman" w:hAnsi="Times New Roman"/>
          <w:sz w:val="20"/>
          <w:szCs w:val="20"/>
          <w:color w:val="454546"/>
        </w:rPr>
        <w:t>. These candidates are either heterobifunctional or molecular glue degraders which serve to</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specifically recruit a target to an E3 ligase component, resulting in the removal of the target protein by the cell’s native protein degradation system.</w:t>
      </w:r>
    </w:p>
    <w:p>
      <w:pPr>
        <w:spacing w:after="0" w:line="6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454546"/>
        </w:rPr>
        <w:t>We leverage the appropriate mechanism based on the target in the chromatin regulatory system. In some cases, we may take multiple approaches and remain modality agnostic in order to ensure we achieve the best approach and most appropriate molecule.</w:t>
      </w:r>
    </w:p>
    <w:p>
      <w:pPr>
        <w:spacing w:after="0" w:line="67"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9"/>
          <w:szCs w:val="19"/>
          <w:color w:val="454546"/>
        </w:rPr>
        <w:t>For components of the chromatin regulatory system that have an enzymatic function (e.g., chromatin remodeling complexes and helicases), we may leverage enzymatic inhibitors. For components of the system that are not amenable to enzymatic inhibition or where selectivity through inhibition may not be possible, we may leverage targeted protein degradation.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Gene Traffic Control Platform</w:t>
      </w:r>
    </w:p>
    <w:p>
      <w:pPr>
        <w:spacing w:after="0" w:line="13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9"/>
          <w:szCs w:val="19"/>
          <w:color w:val="454546"/>
        </w:rPr>
        <w:t>The chromatin regulatory system has remained an untapped opportunity for therapeutic intervention due to the inability to systematically characterize and study its various components. Building upon the groundbreaking discoveries of our academic co-founders, we have developed our proprietary Gene Traffic Control platform which allows us to identify and validate targets within the chromatin regulatory system. We have unique capabilities to isolate, synthesize, characterize, and interrogate components of the system at a level of scale, precision, and efficiency, that to our knowledge, no others have achieved.</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454546"/>
        </w:rPr>
        <w:t>Our capabilities and insights have enabled the development of a suite of unique biochemical, biophysical, structural, and functional assays. We use these assays to discover and optimize novel small molecule chemical matter which include enzymatic inhibitors, protein degraders, and transcription factor disruptors to various targets within the chromatin regulatory system. To our knowledge, we are the only company that has the ability to study the chromatin regulatory system at scale, in context, and in an integrated way.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Gene Traffic Control platform encompasses the following:</w:t>
      </w:r>
    </w:p>
    <w:p>
      <w:pPr>
        <w:spacing w:after="0" w:line="130" w:lineRule="exact"/>
        <w:rPr>
          <w:sz w:val="20"/>
          <w:szCs w:val="20"/>
          <w:color w:val="auto"/>
        </w:rPr>
      </w:pPr>
    </w:p>
    <w:p>
      <w:pPr>
        <w:ind w:left="1080" w:hanging="549"/>
        <w:spacing w:after="0"/>
        <w:tabs>
          <w:tab w:leader="none" w:pos="108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Target Identification and Validation</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Production of Chromatin Regulatory System Components at Scale and Proprietary Assays</w:t>
      </w:r>
    </w:p>
    <w:p>
      <w:pPr>
        <w:spacing w:after="0" w:line="129"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Discovery and Optimization of Chemical Matter</w:t>
      </w:r>
    </w:p>
    <w:p>
      <w:pPr>
        <w:spacing w:after="0" w:line="129"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Development of Targeted Protein Degraders</w:t>
      </w:r>
    </w:p>
    <w:p>
      <w:pPr>
        <w:sectPr>
          <w:pgSz w:w="11880" w:h="15480" w:orient="portrait"/>
          <w:cols w:equalWidth="0" w:num="1">
            <w:col w:w="10220"/>
          </w:cols>
          <w:pgMar w:left="820" w:top="504" w:right="84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w:t>
      </w:r>
    </w:p>
    <w:p>
      <w:pPr>
        <w:sectPr>
          <w:pgSz w:w="11880" w:h="15480" w:orient="portrait"/>
          <w:cols w:equalWidth="0" w:num="1">
            <w:col w:w="10220"/>
          </w:cols>
          <w:pgMar w:left="820" w:top="504" w:right="840" w:bottom="0" w:gutter="0" w:footer="0" w:header="0"/>
          <w:type w:val="continuous"/>
        </w:sectPr>
      </w:pPr>
    </w:p>
    <w:bookmarkStart w:id="11" w:name="page12"/>
    <w:bookmarkEnd w:id="11"/>
    <w:p>
      <w:pPr>
        <w:ind w:right="4640" w:firstLine="531"/>
        <w:spacing w:after="0" w:line="447" w:lineRule="auto"/>
        <w:tabs>
          <w:tab w:leader="none" w:pos="1080" w:val="left"/>
        </w:tabs>
        <w:numPr>
          <w:ilvl w:val="0"/>
          <w:numId w:val="9"/>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Translation to Clinic and Identification of Biomarkers The key features and capabilities of our platform are described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Target Identification and Validation</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454546"/>
        </w:rPr>
        <w:t>We use genomic screens and a suite of epigenome sequencing and computational tools to characterize, identify and validate targets within the chromatin regulatory system. Our epigenome sequencing tools allow us to understand the mechanisms of how our drugs are modifying the chromatin structure. Our platform allows for the identification of genetically determined dependencies associated with the chromatin regulatory system. Specifically, we:</w:t>
      </w:r>
    </w:p>
    <w:p>
      <w:pPr>
        <w:spacing w:after="0" w:line="72" w:lineRule="exact"/>
        <w:rPr>
          <w:sz w:val="20"/>
          <w:szCs w:val="20"/>
          <w:color w:val="auto"/>
        </w:rPr>
      </w:pPr>
    </w:p>
    <w:p>
      <w:pPr>
        <w:ind w:left="1080" w:right="80" w:hanging="549"/>
        <w:spacing w:after="0" w:line="264" w:lineRule="auto"/>
        <w:tabs>
          <w:tab w:leader="none" w:pos="1080" w:val="left"/>
        </w:tabs>
        <w:numPr>
          <w:ilvl w:val="0"/>
          <w:numId w:val="1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Conduct and leverage genomic screens to identify dependencies and relationships. </w:t>
      </w:r>
      <w:r>
        <w:rPr>
          <w:rFonts w:ascii="Times New Roman" w:cs="Times New Roman" w:eastAsia="Times New Roman" w:hAnsi="Times New Roman"/>
          <w:sz w:val="20"/>
          <w:szCs w:val="20"/>
          <w:color w:val="454546"/>
        </w:rPr>
        <w:t>We utilize both broad and</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specific genomic screens to identify dependencies and relationships associated with the chromatin regulatory system. We use a mix of internal and external data sets to understand relationships and synthetic lethality across and within a range of cancer cell lines.</w:t>
      </w:r>
    </w:p>
    <w:p>
      <w:pPr>
        <w:spacing w:after="0" w:line="68" w:lineRule="exact"/>
        <w:rPr>
          <w:rFonts w:ascii="Times New Roman" w:cs="Times New Roman" w:eastAsia="Times New Roman" w:hAnsi="Times New Roman"/>
          <w:sz w:val="20"/>
          <w:szCs w:val="20"/>
          <w:color w:val="454546"/>
        </w:rPr>
      </w:pPr>
    </w:p>
    <w:p>
      <w:pPr>
        <w:ind w:left="1080" w:right="40" w:hanging="549"/>
        <w:spacing w:after="0" w:line="260" w:lineRule="auto"/>
        <w:tabs>
          <w:tab w:leader="none" w:pos="1080" w:val="left"/>
        </w:tabs>
        <w:numPr>
          <w:ilvl w:val="0"/>
          <w:numId w:val="1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Perform broad epigenome sequencing to validate dependencies </w:t>
      </w:r>
      <w:r>
        <w:rPr>
          <w:rFonts w:ascii="Times New Roman" w:cs="Times New Roman" w:eastAsia="Times New Roman" w:hAnsi="Times New Roman"/>
          <w:sz w:val="20"/>
          <w:szCs w:val="20"/>
          <w:b w:val="1"/>
          <w:bCs w:val="1"/>
          <w:i w:val="1"/>
          <w:iCs w:val="1"/>
          <w:color w:val="454546"/>
        </w:rPr>
        <w:t>in vitro</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We apply cutting edge epigenome</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sequencing tools in combination with proprietary tool compounds to further validate targets and enhance our understanding of the impact of drugging the chromatin regulatory system. These tools allow us to rapidly understand the gene expression profiles of specific cancer cell lines, the open / closed state of chromatin, and give us mechanistic understanding of how components of the system work together.</w:t>
      </w:r>
    </w:p>
    <w:p>
      <w:pPr>
        <w:spacing w:after="0" w:line="74" w:lineRule="exact"/>
        <w:rPr>
          <w:rFonts w:ascii="Times New Roman" w:cs="Times New Roman" w:eastAsia="Times New Roman" w:hAnsi="Times New Roman"/>
          <w:sz w:val="20"/>
          <w:szCs w:val="20"/>
          <w:color w:val="454546"/>
        </w:rPr>
      </w:pPr>
    </w:p>
    <w:p>
      <w:pPr>
        <w:ind w:left="1080" w:right="20" w:hanging="549"/>
        <w:spacing w:after="0" w:line="257" w:lineRule="auto"/>
        <w:tabs>
          <w:tab w:leader="none" w:pos="1080" w:val="left"/>
        </w:tabs>
        <w:numPr>
          <w:ilvl w:val="0"/>
          <w:numId w:val="1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Apply machine learning and artificial intelligence (“AI”) to enhance discovery efforts. </w:t>
      </w:r>
      <w:r>
        <w:rPr>
          <w:rFonts w:ascii="Times New Roman" w:cs="Times New Roman" w:eastAsia="Times New Roman" w:hAnsi="Times New Roman"/>
          <w:sz w:val="20"/>
          <w:szCs w:val="20"/>
          <w:color w:val="454546"/>
        </w:rPr>
        <w:t>We use AI systems,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such as AlphaFold and ColabFold, to predict protein structures where experimentally solved crystal structures are not available in the Protein Data Bank. These predicted models inform the design of protein constructs for discovery targets and serve as references for our internal crystal structures. Additionally, we use AI systems to predict patient tumor burden when direct measurements are not available and predict potential patient response to treatment using novel biomarkers. Additionally, we use large-language models to summarize collections of related biological pathways and processes and to enable non-computational scientists to aid our discovery efforts.</w:t>
      </w:r>
    </w:p>
    <w:p>
      <w:pPr>
        <w:spacing w:after="0" w:line="76" w:lineRule="exact"/>
        <w:rPr>
          <w:rFonts w:ascii="Times New Roman" w:cs="Times New Roman" w:eastAsia="Times New Roman" w:hAnsi="Times New Roman"/>
          <w:sz w:val="20"/>
          <w:szCs w:val="20"/>
          <w:color w:val="454546"/>
        </w:rPr>
      </w:pPr>
    </w:p>
    <w:p>
      <w:pPr>
        <w:ind w:left="1080" w:right="60" w:hanging="549"/>
        <w:spacing w:after="0" w:line="260" w:lineRule="auto"/>
        <w:tabs>
          <w:tab w:leader="none" w:pos="1080" w:val="left"/>
        </w:tabs>
        <w:numPr>
          <w:ilvl w:val="0"/>
          <w:numId w:val="1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Validate dependencies </w:t>
      </w:r>
      <w:r>
        <w:rPr>
          <w:rFonts w:ascii="Times New Roman" w:cs="Times New Roman" w:eastAsia="Times New Roman" w:hAnsi="Times New Roman"/>
          <w:sz w:val="20"/>
          <w:szCs w:val="20"/>
          <w:b w:val="1"/>
          <w:bCs w:val="1"/>
          <w:i w:val="1"/>
          <w:iCs w:val="1"/>
          <w:color w:val="454546"/>
        </w:rPr>
        <w:t>in vivo</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Where possible, we endeavor to validate targets in various animal models with</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implanted cancer cells relevant to the disease we are aiming to treat. Specifically, we use mouse xenograft models with inducible CRISPR / shRNA (short hairpin RNA) to validate that knockdown of our target of interest results in tumor growth inhibition. We also apply epigenome sequencing tools in the animal model setting to identify potential biomarkers.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Production of Chromatin Regulatory System Components at Scale and Proprietary Assays</w:t>
      </w:r>
    </w:p>
    <w:p>
      <w:pPr>
        <w:spacing w:after="0" w:line="12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454546"/>
        </w:rPr>
        <w:t>We have built unique capabilities to purify and synthesize components of the chromatin regulatory system (chromatin remodeling complexes, transcription factors helicases, chromatin related factors). These capabilities allow us to study the chromatin regulatory system at scale and in context that, to our knowledge, is unavailable to others, and yields insights that are critical to systematically drugging this system. Specifically, we:</w:t>
      </w:r>
    </w:p>
    <w:p>
      <w:pPr>
        <w:spacing w:after="0" w:line="72" w:lineRule="exact"/>
        <w:rPr>
          <w:sz w:val="20"/>
          <w:szCs w:val="20"/>
          <w:color w:val="auto"/>
        </w:rPr>
      </w:pPr>
    </w:p>
    <w:p>
      <w:pPr>
        <w:ind w:left="1080" w:right="80" w:hanging="549"/>
        <w:spacing w:after="0" w:line="264" w:lineRule="auto"/>
        <w:tabs>
          <w:tab w:leader="none" w:pos="1080" w:val="left"/>
        </w:tabs>
        <w:numPr>
          <w:ilvl w:val="0"/>
          <w:numId w:val="1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Purify and synthesize chromatin remodeling complexes and transcription factors at scale. </w:t>
      </w:r>
      <w:r>
        <w:rPr>
          <w:rFonts w:ascii="Times New Roman" w:cs="Times New Roman" w:eastAsia="Times New Roman" w:hAnsi="Times New Roman"/>
          <w:sz w:val="20"/>
          <w:szCs w:val="20"/>
          <w:color w:val="454546"/>
        </w:rPr>
        <w:t>Our platform has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the unique ability to purify and synthesize chromatin remodeling complexes such as the BAF complex, as well as mutant forms of these complexes. We also produce and screen full length versions of transcription factors and other chromatin regulatory system components.</w:t>
      </w:r>
    </w:p>
    <w:p>
      <w:pPr>
        <w:spacing w:after="0" w:line="68" w:lineRule="exact"/>
        <w:rPr>
          <w:rFonts w:ascii="Times New Roman" w:cs="Times New Roman" w:eastAsia="Times New Roman" w:hAnsi="Times New Roman"/>
          <w:sz w:val="20"/>
          <w:szCs w:val="20"/>
          <w:color w:val="454546"/>
        </w:rPr>
      </w:pPr>
    </w:p>
    <w:p>
      <w:pPr>
        <w:ind w:left="1080" w:hanging="549"/>
        <w:spacing w:after="0" w:line="260" w:lineRule="auto"/>
        <w:tabs>
          <w:tab w:leader="none" w:pos="1080" w:val="left"/>
        </w:tabs>
        <w:numPr>
          <w:ilvl w:val="0"/>
          <w:numId w:val="1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b w:val="1"/>
          <w:bCs w:val="1"/>
          <w:color w:val="454546"/>
        </w:rPr>
        <w:t xml:space="preserve">Structural Biology. </w:t>
      </w:r>
      <w:r>
        <w:rPr>
          <w:rFonts w:ascii="Times New Roman" w:cs="Times New Roman" w:eastAsia="Times New Roman" w:hAnsi="Times New Roman"/>
          <w:sz w:val="20"/>
          <w:szCs w:val="20"/>
          <w:color w:val="454546"/>
        </w:rPr>
        <w:t>We believe that the three-dimensional structure of chromatin regulatory system components</w:t>
      </w:r>
      <w:r>
        <w:rPr>
          <w:rFonts w:ascii="Times New Roman" w:cs="Times New Roman" w:eastAsia="Times New Roman" w:hAnsi="Times New Roman"/>
          <w:sz w:val="20"/>
          <w:szCs w:val="20"/>
          <w:b w:val="1"/>
          <w:bCs w:val="1"/>
          <w:color w:val="454546"/>
        </w:rPr>
        <w:t xml:space="preserve"> </w:t>
      </w:r>
      <w:r>
        <w:rPr>
          <w:rFonts w:ascii="Times New Roman" w:cs="Times New Roman" w:eastAsia="Times New Roman" w:hAnsi="Times New Roman"/>
          <w:sz w:val="20"/>
          <w:szCs w:val="20"/>
          <w:color w:val="454546"/>
        </w:rPr>
        <w:t>provides a mechanistic understanding of the targets and thus enables drug discovery. We have repeatably been able to determine three dimensional structures for various chromatin regulatory system targets, including x-ray structures of the enzymes targets, ternary structures of protein degrader targets, and mass spectrometry mapping of transcription factor - chromatin remodeling complex interactions.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Discovery and Optimization of Chemical Matter</w:t>
      </w:r>
    </w:p>
    <w:p>
      <w:pPr>
        <w:spacing w:after="0" w:line="12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color w:val="454546"/>
        </w:rPr>
        <w:t>We perform proprietary high throughput screens that leverage our ability to produce chromatin regulatory system components at scale. An example screen is the use of the fully assembled BAF complex which is specific to its mutated or disease relevant form (e.g., screening the SMARCA2 form of BAF which corresponds to SMARCA4 mutated cancer). We utilize both proprietary and publicly available chemical libraries in our screens.</w:t>
      </w:r>
    </w:p>
    <w:p>
      <w:pPr>
        <w:spacing w:after="0" w:line="76"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454546"/>
        </w:rPr>
        <w:t>Once we find hits from our screens, we use our unique suite of biophysical assays involving the relevant component of the chromatin regulatory system to characterize, validate, and optimize our chemical matter. These assays provide us with biologically relevant insights that guide our medicinal chemistry efforts.</w:t>
      </w:r>
    </w:p>
    <w:p>
      <w:pPr>
        <w:sectPr>
          <w:pgSz w:w="11880" w:h="15480" w:orient="portrait"/>
          <w:cols w:equalWidth="0" w:num="1">
            <w:col w:w="10240"/>
          </w:cols>
          <w:pgMar w:left="820" w:top="504" w:right="82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10</w:t>
      </w:r>
    </w:p>
    <w:p>
      <w:pPr>
        <w:sectPr>
          <w:pgSz w:w="11880" w:h="15480" w:orient="portrait"/>
          <w:cols w:equalWidth="0" w:num="1">
            <w:col w:w="10240"/>
          </w:cols>
          <w:pgMar w:left="820" w:top="504" w:right="820" w:bottom="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0"/>
          <w:szCs w:val="20"/>
          <w:i w:val="1"/>
          <w:iCs w:val="1"/>
          <w:color w:val="454546"/>
        </w:rPr>
        <w:t>Development of Targeted Protein Degraders</w:t>
      </w:r>
    </w:p>
    <w:p>
      <w:pPr>
        <w:spacing w:after="0" w:line="128" w:lineRule="exact"/>
        <w:rPr>
          <w:sz w:val="20"/>
          <w:szCs w:val="20"/>
          <w:color w:val="auto"/>
        </w:rPr>
      </w:pPr>
    </w:p>
    <w:p>
      <w:pPr>
        <w:ind w:left="20" w:right="40"/>
        <w:spacing w:after="0" w:line="257" w:lineRule="auto"/>
        <w:rPr>
          <w:sz w:val="20"/>
          <w:szCs w:val="20"/>
          <w:color w:val="auto"/>
        </w:rPr>
      </w:pPr>
      <w:r>
        <w:rPr>
          <w:rFonts w:ascii="Times New Roman" w:cs="Times New Roman" w:eastAsia="Times New Roman" w:hAnsi="Times New Roman"/>
          <w:sz w:val="20"/>
          <w:szCs w:val="20"/>
          <w:color w:val="454546"/>
        </w:rPr>
        <w:t>For targets in the portfolio whose biology demonstrates that degradation could offer a therapeutic advantage, we develop small molecule heterobifunctional or molecular glue degraders. Many of our targets play important scaffolding roles in chromatin remodeling complexes and/or are not enzymes. Therefore, inhibition would not be effective or possible. Protein degraders recruit target proteins to specific E3 ligase complexes and by doing so, promote the removal of the target protein by harnessing the cell’s native ubiquitin and proteasome-based degradation system. This approach results in rapid loss and clearance from the cell of disease driving proteins and is a powerful complement to our inhibitor capabilities.</w:t>
      </w:r>
    </w:p>
    <w:p>
      <w:pPr>
        <w:spacing w:after="0" w:line="83" w:lineRule="exact"/>
        <w:rPr>
          <w:sz w:val="20"/>
          <w:szCs w:val="20"/>
          <w:color w:val="auto"/>
        </w:rPr>
      </w:pPr>
    </w:p>
    <w:p>
      <w:pPr>
        <w:ind w:left="20" w:right="820"/>
        <w:spacing w:after="0" w:line="287" w:lineRule="auto"/>
        <w:rPr>
          <w:sz w:val="20"/>
          <w:szCs w:val="20"/>
          <w:color w:val="auto"/>
        </w:rPr>
      </w:pPr>
      <w:r>
        <w:rPr>
          <w:rFonts w:ascii="Times New Roman" w:cs="Times New Roman" w:eastAsia="Times New Roman" w:hAnsi="Times New Roman"/>
          <w:sz w:val="20"/>
          <w:szCs w:val="20"/>
          <w:color w:val="454546"/>
        </w:rPr>
        <w:t>We have a broad and highly efficient degradation development, screening, and triaging platform. This know-how and capabilities include:</w:t>
      </w:r>
    </w:p>
    <w:p>
      <w:pPr>
        <w:spacing w:after="0" w:line="50" w:lineRule="exact"/>
        <w:rPr>
          <w:sz w:val="20"/>
          <w:szCs w:val="20"/>
          <w:color w:val="auto"/>
        </w:rPr>
      </w:pPr>
    </w:p>
    <w:p>
      <w:pPr>
        <w:ind w:left="1100" w:hanging="549"/>
        <w:spacing w:after="0"/>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Proprietary library of linkers and E3 ligase binders for heterobifunctional degrader development;</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Proprietary screening strategy for novel molecular glue discovery;</w:t>
      </w:r>
    </w:p>
    <w:p>
      <w:pPr>
        <w:spacing w:after="0" w:line="129" w:lineRule="exact"/>
        <w:rPr>
          <w:rFonts w:ascii="Times New Roman" w:cs="Times New Roman" w:eastAsia="Times New Roman" w:hAnsi="Times New Roman"/>
          <w:sz w:val="20"/>
          <w:szCs w:val="20"/>
          <w:color w:val="454546"/>
        </w:rPr>
      </w:pPr>
    </w:p>
    <w:p>
      <w:pPr>
        <w:ind w:left="1100" w:right="200" w:hanging="549"/>
        <w:spacing w:after="0" w:line="287" w:lineRule="auto"/>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Biochemical, biophysical, and cellular assays that characterize protein degrader mechanism of action and guide optimization, including degradation kinetics, ubiquitination, and permeability;</w:t>
      </w:r>
    </w:p>
    <w:p>
      <w:pPr>
        <w:spacing w:after="0" w:line="4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Biochemical and cellular ternary complex assays, ternary complex structural determination;</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Molecular and protein:protein interaction interface prediction modeling and compound docking programs;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Global proteomics and mass spectrometry to measure selectivity in an unbiased fashion;</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Induced proximity and proximity labeling capabilities for exploration of novel approaches;</w:t>
      </w:r>
    </w:p>
    <w:p>
      <w:pPr>
        <w:spacing w:after="0" w:line="129" w:lineRule="exact"/>
        <w:rPr>
          <w:rFonts w:ascii="Times New Roman" w:cs="Times New Roman" w:eastAsia="Times New Roman" w:hAnsi="Times New Roman"/>
          <w:sz w:val="20"/>
          <w:szCs w:val="20"/>
          <w:color w:val="454546"/>
        </w:rPr>
      </w:pPr>
    </w:p>
    <w:p>
      <w:pPr>
        <w:ind w:left="1080" w:right="320" w:hanging="530"/>
        <w:spacing w:after="0" w:line="287" w:lineRule="auto"/>
        <w:tabs>
          <w:tab w:leader="none" w:pos="108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Oral and long-acting formulation of protein degraders which enhances route of administration and/or decrease frequency of delivery;</w:t>
      </w:r>
    </w:p>
    <w:p>
      <w:pPr>
        <w:spacing w:after="0" w:line="4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Degraders compatible with antibody conjugation and delivery as degrader antibody conjugates; and</w:t>
      </w:r>
    </w:p>
    <w:p>
      <w:pPr>
        <w:spacing w:after="0" w:line="250" w:lineRule="exact"/>
        <w:rPr>
          <w:rFonts w:ascii="Times New Roman" w:cs="Times New Roman" w:eastAsia="Times New Roman" w:hAnsi="Times New Roman"/>
          <w:sz w:val="20"/>
          <w:szCs w:val="20"/>
          <w:color w:val="454546"/>
        </w:rPr>
      </w:pPr>
    </w:p>
    <w:p>
      <w:pPr>
        <w:ind w:left="1080" w:right="360" w:hanging="530"/>
        <w:spacing w:after="0" w:line="287" w:lineRule="auto"/>
        <w:tabs>
          <w:tab w:leader="none" w:pos="1080" w:val="left"/>
        </w:tabs>
        <w:numPr>
          <w:ilvl w:val="0"/>
          <w:numId w:val="1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Development of a new ligases and effector proteins, which have potential to degrade transcription factors and other important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Translation to Clinic and Identification of Biomarkers</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454546"/>
        </w:rPr>
        <w:t>We seek to enrich our clinical studies with the genetically relevant patient populations that are most likely to benefit from treatment. Early in the drug discovery process, we use various genome and epigenome analyses to understand the genetic dependency of the cancer on the chromatin regulatory system. Our intent is to have clear genetic markers for patients whom we seek to potentially treat.</w:t>
      </w:r>
    </w:p>
    <w:p>
      <w:pPr>
        <w:spacing w:after="0" w:line="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454546"/>
        </w:rPr>
        <w:t>As we progress a drug candidate, we analyze tumor models and where available direct patient samples to understand biomarkers of response (e.g., change in expression level of a particular gene or set of genes, change in protein level of a component of the chromatin regulatory system). We intend to use these biomarkers in our clinical studies to understand tumor response to our drug candidates. Additionally, we will retrospectively analyze our clinical studies for any other biomarkers that will further enhance patient stratification and response.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Product Candidates</w:t>
      </w:r>
    </w:p>
    <w:p>
      <w:pPr>
        <w:spacing w:after="0" w:line="13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color w:val="454546"/>
        </w:rPr>
        <w:t>We are developing a pipeline of product candidates that target genetically determined dependencies within the chromatin regulatory system. Our programs consist of enzyme inhibitors, protein degraders and transcription factor disruptors. Our most advanced product candidate is FHD-909. In February 2024, Lilly selected FHD-909 for clinical development pursuant to the Lilly Collaboration Agreement, and in May 2024, the IND was cleared. The first patient was dosed in the Phase 1 dose escalation trial for FHD-909 in October 2024, with NSCLC as the primary patient population.</w:t>
      </w:r>
    </w:p>
    <w:p>
      <w:pPr>
        <w:sectPr>
          <w:pgSz w:w="11880" w:h="15480" w:orient="portrait"/>
          <w:cols w:equalWidth="0" w:num="1">
            <w:col w:w="10220"/>
          </w:cols>
          <w:pgMar w:left="800" w:top="5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11</w:t>
      </w:r>
    </w:p>
    <w:p>
      <w:pPr>
        <w:sectPr>
          <w:pgSz w:w="11880" w:h="15480" w:orient="portrait"/>
          <w:cols w:equalWidth="0" w:num="1">
            <w:col w:w="10220"/>
          </w:cols>
          <w:pgMar w:left="800" w:top="506" w:right="860" w:bottom="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514985</wp:posOffset>
            </wp:positionH>
            <wp:positionV relativeFrom="page">
              <wp:posOffset>1189990</wp:posOffset>
            </wp:positionV>
            <wp:extent cx="6513830" cy="3281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513830" cy="328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Figure 1. The enzymatic activity of the BAF complex is provided by the SMARCA2 or SMARCA4 subunits.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Selective SMARCA2 Inhibitor and Degrader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Overview</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Broad cancer sequencing initiatives have shown that SMARCA4 is one of the most highly mutated subunits of the BAF complex. SMARCA4 was found to be mutated in approximately five percent of tumors sequenced as part of the Memorial Sloan Kettering Cancer Center MSK-IMPACT study, and in up to 10 percent of NSCLC tumors. Beyond NSCLC, the MSK-IMPACT study highlighted SMARCA4 mutations in over 30 different types of tumors. In many cases, these mutations lead to a loss of enzymatic activity in the SMARCA4 subunit, creating a genetically determined dependency on SMARCA2. This loss of SMARCA4 and subsequent dependency on SMARCA2 leads to a drugging opportunity. We are currently developing selective modulators of SMARCA2 to target this genetic dependency in SMARCA4 mutated cancers. In December 2021, we entered into a strategic collaboration with Lilly to create novel oncology medicines. The Lilly collaboration includes a U.S. co-development and co-commercialization agreement for the selective SMARCA2 oncology program. In February 2024, Lilly declared FHD-909, a first-in-class SMARCA2 inhibitor, a development candidate pursuant to the Lilly Collaboration Agreement and in May 2024, the IND was cleared. The first patient was dosed in the Phase 1 dose escalation trial for FHD-909 in October 2024 with NSCLC as the primary patient population.</w:t>
      </w:r>
    </w:p>
    <w:p>
      <w:pPr>
        <w:sectPr>
          <w:pgSz w:w="11880" w:h="15480" w:orient="portrait"/>
          <w:cols w:equalWidth="0" w:num="1">
            <w:col w:w="10240"/>
          </w:cols>
          <w:pgMar w:left="82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12</w:t>
      </w:r>
    </w:p>
    <w:p>
      <w:pPr>
        <w:sectPr>
          <w:pgSz w:w="11880" w:h="15480" w:orient="portrait"/>
          <w:cols w:equalWidth="0" w:num="1">
            <w:col w:w="10240"/>
          </w:cols>
          <w:pgMar w:left="820" w:top="1440" w:right="820" w:bottom="0" w:gutter="0" w:footer="0" w:header="0"/>
          <w:type w:val="continuous"/>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454546"/>
        </w:rPr>
        <w:t>12 Tumor Types with Highest Prevalence of SMARCA4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116205</wp:posOffset>
            </wp:positionV>
            <wp:extent cx="5638800" cy="2028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563880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860" w:right="80"/>
        <w:spacing w:after="0" w:line="295" w:lineRule="auto"/>
        <w:rPr>
          <w:sz w:val="20"/>
          <w:szCs w:val="20"/>
          <w:color w:val="auto"/>
        </w:rPr>
      </w:pPr>
      <w:r>
        <w:rPr>
          <w:rFonts w:ascii="Times New Roman" w:cs="Times New Roman" w:eastAsia="Times New Roman" w:hAnsi="Times New Roman"/>
          <w:sz w:val="20"/>
          <w:szCs w:val="20"/>
          <w:b w:val="1"/>
          <w:bCs w:val="1"/>
          <w:color w:val="454546"/>
        </w:rPr>
        <w:t>Figure 2. The above chart highlights the cancers with the highest prevalence of SMARCA4 mutations from the MSK-IMPACT study.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Non-Small Cell Lung Cancer Overview</w:t>
      </w:r>
    </w:p>
    <w:p>
      <w:pPr>
        <w:spacing w:after="0" w:line="13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454546"/>
        </w:rPr>
        <w:t>Lung cancer is the leading cause of cancer-related death globally, accounting for approximately 1.8 million deaths per year. According to data from the National Cancer Institute Surveillance, Epidemiology, and End Results Program (“SEER”), in the United States, cancer of the lung and bronchus is the third leading cancer by estimated cases and deaths annually, with an estimated 227,000 new cases diagnosed and 125,000 deaths in the United States each year. NSCLC accounts for 80 to</w:t>
      </w:r>
    </w:p>
    <w:p>
      <w:pPr>
        <w:spacing w:after="0" w:line="251" w:lineRule="auto"/>
        <w:rPr>
          <w:sz w:val="20"/>
          <w:szCs w:val="20"/>
          <w:color w:val="auto"/>
        </w:rPr>
      </w:pPr>
      <w:r>
        <w:rPr>
          <w:rFonts w:ascii="Times New Roman" w:cs="Times New Roman" w:eastAsia="Times New Roman" w:hAnsi="Times New Roman"/>
          <w:sz w:val="20"/>
          <w:szCs w:val="20"/>
          <w:color w:val="454546"/>
        </w:rPr>
        <w:t>85 percent of lung cancer cases. Genetic profiling of tumors has identified a number of genes that are altered in NSCLC. Targeted therapies developed for the proteins encoded by some of these genes such as the epidermal growth factor receptor (“EGFR”) and anaplastic lymphoma kinase gene (“ALK”) are standard of care for patients with NSCLC harboring such actionable mutations. However, less than 30 percent of NSCLC patients have alterations in these two genes. Up to two thirds of NSCLC patients who are ineligible for or resistant to treatment with targeted therapies such as EGFR or ALK have tumors that express PD-L1 and are candidates for immunotherapies with or without conventional chemotherapy. Despite the availability of both targeted and immunotherapies, the prognosis in NSCLC remains poor, with an overall relative five-year survival for all patients diagnosed with lung cancer of 28.1 percent, according to SEER.</w:t>
      </w:r>
    </w:p>
    <w:p>
      <w:pPr>
        <w:spacing w:after="0" w:line="9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454546"/>
        </w:rPr>
        <w:t>An analysis of genomic data in NSCLC cancer patients, collected as part of MSK-IMPACT, revealed that gene alterations in SMARCA4 were found in 10 percent of NSCLC samples. In a retrospective analysis conducted by MSKCC it was observed that among patients with SMARCA4-deficient NSCLC who received first-line platinum doublet chemotherapy or chemotherapy plus immunotherapy, median progression-free survival was 38 days and 35 days, respectively. Prognosis is poor in patients with SMARCA4-deficient NSCLC, highlighting the importance of developing novel therapeutics that address this unmet need.</w:t>
      </w:r>
    </w:p>
    <w:p>
      <w:pPr>
        <w:sectPr>
          <w:pgSz w:w="11880" w:h="15480" w:orient="portrait"/>
          <w:cols w:equalWidth="0" w:num="1">
            <w:col w:w="10200"/>
          </w:cols>
          <w:pgMar w:left="820" w:top="50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13</w:t>
      </w:r>
    </w:p>
    <w:p>
      <w:pPr>
        <w:sectPr>
          <w:pgSz w:w="11880" w:h="15480" w:orient="portrait"/>
          <w:cols w:equalWidth="0" w:num="1">
            <w:col w:w="10200"/>
          </w:cols>
          <w:pgMar w:left="820" w:top="500" w:right="860" w:bottom="0" w:gutter="0" w:footer="0" w:header="0"/>
          <w:type w:val="continuous"/>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20"/>
          <w:szCs w:val="20"/>
          <w:b w:val="1"/>
          <w:bCs w:val="1"/>
          <w:color w:val="454546"/>
        </w:rPr>
        <w:t>MSK-IMPACT: SMARCA4 Mutated in 10% of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116205</wp:posOffset>
            </wp:positionV>
            <wp:extent cx="6126480" cy="2001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126480" cy="200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880" w:right="40"/>
        <w:spacing w:after="0" w:line="295" w:lineRule="auto"/>
        <w:rPr>
          <w:sz w:val="20"/>
          <w:szCs w:val="20"/>
          <w:color w:val="auto"/>
        </w:rPr>
      </w:pPr>
      <w:r>
        <w:rPr>
          <w:rFonts w:ascii="Times New Roman" w:cs="Times New Roman" w:eastAsia="Times New Roman" w:hAnsi="Times New Roman"/>
          <w:sz w:val="20"/>
          <w:szCs w:val="20"/>
          <w:b w:val="1"/>
          <w:bCs w:val="1"/>
          <w:color w:val="454546"/>
        </w:rPr>
        <w:t>Figure 3. SMARCA4 gene alterations are found in 10 percent of NSCLC tumors and have minimal overlap with other actionable mutations present in NSCLC, such as EGFR and ALK.</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454546"/>
        </w:rPr>
        <w:t>Genomic screening of over 400 cancer cell lines that remove SMARCA2 via CRISPR revealed a genetic dependency of certain SMARCA4-mutated cancers on SMARCA2. This finding suggests that selective inhibition or selective degradation of SMARCA2 has the potential to be therapeutically meaningful in certain cancers with SMARCA4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454660</wp:posOffset>
            </wp:positionV>
            <wp:extent cx="5582285" cy="4267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582285" cy="426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880" w:right="40"/>
        <w:spacing w:after="0" w:line="295" w:lineRule="auto"/>
        <w:rPr>
          <w:sz w:val="20"/>
          <w:szCs w:val="20"/>
          <w:color w:val="auto"/>
        </w:rPr>
      </w:pPr>
      <w:r>
        <w:rPr>
          <w:rFonts w:ascii="Times New Roman" w:cs="Times New Roman" w:eastAsia="Times New Roman" w:hAnsi="Times New Roman"/>
          <w:sz w:val="20"/>
          <w:szCs w:val="20"/>
          <w:b w:val="1"/>
          <w:bCs w:val="1"/>
          <w:color w:val="454546"/>
        </w:rPr>
        <w:t>Figure 4. In a screen of over 400 cancer cell lines, inactivation of the SMARCA2 gene resulted in selective inhibition of cell lines containing mutations in SMARCA4.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Our Solution: Selective SMARCA2 Inhibitor, FHD-909, and Selective SMARCA2 Degrader</w:t>
      </w:r>
    </w:p>
    <w:p>
      <w:pPr>
        <w:spacing w:after="0" w:line="13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color w:val="454546"/>
        </w:rPr>
        <w:t>With our collaboration partner, Lilly, we are advancing two classes of molecules, an enzymatic inhibitor, FHD-909, and a protein degrader, as selective modulators of SMARCA2.</w:t>
      </w:r>
    </w:p>
    <w:p>
      <w:pPr>
        <w:sectPr>
          <w:pgSz w:w="11880" w:h="15480" w:orient="portrait"/>
          <w:cols w:equalWidth="0" w:num="1">
            <w:col w:w="10180"/>
          </w:cols>
          <w:pgMar w:left="820" w:top="500" w:right="880" w:bottom="0" w:gutter="0" w:footer="0" w:header="0"/>
        </w:sect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14</w:t>
      </w:r>
    </w:p>
    <w:p>
      <w:pPr>
        <w:sectPr>
          <w:pgSz w:w="11880" w:h="15480" w:orient="portrait"/>
          <w:cols w:equalWidth="0" w:num="1">
            <w:col w:w="10180"/>
          </w:cols>
          <w:pgMar w:left="820" w:top="500" w:right="880" w:bottom="0" w:gutter="0" w:footer="0" w:header="0"/>
          <w:type w:val="continuous"/>
        </w:sectPr>
      </w:pPr>
    </w:p>
    <w:bookmarkStart w:id="16" w:name="page17"/>
    <w:bookmarkEnd w:id="16"/>
    <w:p>
      <w:pPr>
        <w:spacing w:after="0" w:line="269" w:lineRule="auto"/>
        <w:rPr>
          <w:sz w:val="20"/>
          <w:szCs w:val="20"/>
          <w:color w:val="auto"/>
        </w:rPr>
      </w:pPr>
      <w:r>
        <w:rPr>
          <w:rFonts w:ascii="Times New Roman" w:cs="Times New Roman" w:eastAsia="Times New Roman" w:hAnsi="Times New Roman"/>
          <w:sz w:val="20"/>
          <w:szCs w:val="20"/>
          <w:color w:val="454546"/>
        </w:rPr>
        <w:t>FHD-909 is a first-in-class oral selective SMARCA2 inhibitor that has demonstrated in preclinical studies to have high selectivity over its paralog SMARCA4, two proteins that are the catalytic engines across all forms of the BAF complex. FHD-909 is currently being studied in a Phase 1 open label multi-center clinical trial.</w:t>
      </w:r>
    </w:p>
    <w:p>
      <w:pPr>
        <w:sectPr>
          <w:pgSz w:w="11880" w:h="15480" w:orient="portrait"/>
          <w:cols w:equalWidth="0" w:num="1">
            <w:col w:w="10100"/>
          </w:cols>
          <w:pgMar w:left="820" w:top="50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454546"/>
        </w:rPr>
        <w:t>15</w:t>
      </w:r>
    </w:p>
    <w:p>
      <w:pPr>
        <w:sectPr>
          <w:pgSz w:w="11880" w:h="15480" w:orient="portrait"/>
          <w:cols w:equalWidth="0" w:num="1">
            <w:col w:w="10100"/>
          </w:cols>
          <w:pgMar w:left="820" w:top="504" w:right="96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514985</wp:posOffset>
            </wp:positionH>
            <wp:positionV relativeFrom="page">
              <wp:posOffset>808990</wp:posOffset>
            </wp:positionV>
            <wp:extent cx="6519545" cy="3023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519545" cy="302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20"/>
          <w:szCs w:val="20"/>
          <w:b w:val="1"/>
          <w:bCs w:val="1"/>
          <w:color w:val="454546"/>
        </w:rPr>
        <w:t>Figure 5. FHD-909 Monotherapy Demonstrated Strong In Vivo Preclinical Activity Across SMARCA4 Mutant NSCLC Models at Tolerated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284480</wp:posOffset>
            </wp:positionV>
            <wp:extent cx="6513830" cy="2941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51383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Figure 6. A First-in-Human Phase 1 Trial of FHD-909 in Advanced Solid Tumor Patients with SMARCA4 Mutations</w:t>
      </w:r>
    </w:p>
    <w:p>
      <w:pPr>
        <w:sectPr>
          <w:pgSz w:w="11880" w:h="15480" w:orient="portrait"/>
          <w:cols w:equalWidth="0" w:num="1">
            <w:col w:w="1012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16</w:t>
      </w:r>
    </w:p>
    <w:p>
      <w:pPr>
        <w:sectPr>
          <w:pgSz w:w="11880" w:h="15480" w:orient="portrait"/>
          <w:cols w:equalWidth="0" w:num="1">
            <w:col w:w="10120"/>
          </w:cols>
          <w:pgMar w:left="880" w:top="1440" w:right="88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514985</wp:posOffset>
            </wp:positionH>
            <wp:positionV relativeFrom="page">
              <wp:posOffset>351790</wp:posOffset>
            </wp:positionV>
            <wp:extent cx="6513830" cy="3249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513830" cy="324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line="295" w:lineRule="auto"/>
        <w:rPr>
          <w:sz w:val="20"/>
          <w:szCs w:val="20"/>
          <w:color w:val="auto"/>
        </w:rPr>
      </w:pPr>
      <w:r>
        <w:rPr>
          <w:rFonts w:ascii="Times New Roman" w:cs="Times New Roman" w:eastAsia="Times New Roman" w:hAnsi="Times New Roman"/>
          <w:sz w:val="20"/>
          <w:szCs w:val="20"/>
          <w:b w:val="1"/>
          <w:bCs w:val="1"/>
          <w:color w:val="454546"/>
        </w:rPr>
        <w:t>Figure 7. FHD-909 in Combination with Pembrolizumab Shows Significantly Enhanced Anti-Tumor Activity in A549 CD34 + HSC Humanized Xenograft NSCLC Model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Selective SMARCA2 Degrader</w:t>
      </w:r>
    </w:p>
    <w:p>
      <w:pPr>
        <w:spacing w:after="0" w:line="2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Our other approach to selective SMARCA2 modulation consists of protein degrader molecules that activate the cell’s ubiquitin proteasome degradation system to selectively destroy SMARCA2. One domain of the SMARCA2 degrader molecule is a potent and selective binder of SMARCA2. This is chemically linked to a domain that binds to a receptor on the E3 ligase complex. In cells, these protein degrader molecules bring their target into proximity of the E3 ligase which marks these target proteins for destruction by the cell’s ubiquitin proteasome degradation system. We have shown that it is possible to identify protein degraders that lead to the destruction of SMARCA2 while leaving SMARCA4 virtually untouched.</w:t>
      </w:r>
    </w:p>
    <w:p>
      <w:pPr>
        <w:sectPr>
          <w:pgSz w:w="11880" w:h="15480" w:orient="portrait"/>
          <w:cols w:equalWidth="0" w:num="1">
            <w:col w:w="10260"/>
          </w:cols>
          <w:pgMar w:left="820" w:top="144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17</w:t>
      </w:r>
    </w:p>
    <w:p>
      <w:pPr>
        <w:sectPr>
          <w:pgSz w:w="11880" w:h="15480" w:orient="portrait"/>
          <w:cols w:equalWidth="0" w:num="1">
            <w:col w:w="10260"/>
          </w:cols>
          <w:pgMar w:left="820" w:top="1440" w:right="800" w:bottom="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b w:val="1"/>
          <w:bCs w:val="1"/>
          <w:color w:val="454546"/>
        </w:rPr>
        <w:t>Selective Degradation of SMARCA2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344805</wp:posOffset>
            </wp:positionV>
            <wp:extent cx="5562600" cy="4067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562600" cy="406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20"/>
          <w:szCs w:val="20"/>
          <w:b w:val="1"/>
          <w:bCs w:val="1"/>
          <w:color w:val="454546"/>
        </w:rPr>
        <w:t>Figure 8. Selective SMARCA2 degrading molecules led to the degradation of over 75 percent of SMARCA2 while leaving the levels of SMARCA4 virtually unchanged.</w:t>
      </w:r>
    </w:p>
    <w:p>
      <w:pPr>
        <w:sectPr>
          <w:pgSz w:w="11880" w:h="15480" w:orient="portrait"/>
          <w:cols w:equalWidth="0" w:num="1">
            <w:col w:w="9640"/>
          </w:cols>
          <w:pgMar w:left="1120" w:top="50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18</w:t>
      </w:r>
    </w:p>
    <w:p>
      <w:pPr>
        <w:sectPr>
          <w:pgSz w:w="11880" w:h="15480" w:orient="portrait"/>
          <w:cols w:equalWidth="0" w:num="1">
            <w:col w:w="9640"/>
          </w:cols>
          <w:pgMar w:left="1120" w:top="500" w:right="112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454546"/>
        </w:rPr>
        <w:t>Selective CBP Degrader for EP300 Mutated and CBP Dependent Cancers</w:t>
      </w:r>
    </w:p>
    <w:p>
      <w:pPr>
        <w:spacing w:after="0" w:line="13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454546"/>
        </w:rPr>
        <w:t>CREB binding protein (CBP) serves as a critical co-activator for transcription factors involved in signaling pathways in a subset of cancers including bladder, endometrial, colorectal, breast, gastric and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6515100" cy="4154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515100" cy="415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line="324" w:lineRule="auto"/>
        <w:rPr>
          <w:sz w:val="20"/>
          <w:szCs w:val="20"/>
          <w:color w:val="auto"/>
        </w:rPr>
      </w:pPr>
      <w:r>
        <w:rPr>
          <w:rFonts w:ascii="Times New Roman" w:cs="Times New Roman" w:eastAsia="Times New Roman" w:hAnsi="Times New Roman"/>
          <w:sz w:val="19"/>
          <w:szCs w:val="19"/>
          <w:b w:val="1"/>
          <w:bCs w:val="1"/>
          <w:color w:val="454546"/>
        </w:rPr>
        <w:t>Figure 9. In a screen of over 1,000 cancer cell lines, CRISPR knockout of the CBP gene resulted in selective growth inhibition of cell lines containing mutations in EP300, establishing the dependency on CBP in these cell lines.</w:t>
      </w:r>
    </w:p>
    <w:p>
      <w:pPr>
        <w:spacing w:after="0" w:line="13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454546"/>
        </w:rPr>
        <w:t>CBP and E1A-binding protein (EP300) are paralog chromatin regulators and histone acetyltransferases with highly homologous domain structure and architecture. Functional genomics screens have shown that CBP and EP300 share a bi- directional synthetic lethal relationship. As a result, loss of function of one of these proteins leads to dependency on the other. Selectively targeting CBP has applications in tumors with EP300 mutations and in CBP-dependent cancers including but not limited to endometrial, cervical, ovarian, bladder, colorectal and ER+ breast cancer. According to Clarivate, the annual U.S. incidence of these cancers exceeds 500,000.</w:t>
      </w:r>
    </w:p>
    <w:p>
      <w:pPr>
        <w:spacing w:after="0" w:line="8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0"/>
          <w:szCs w:val="20"/>
          <w:color w:val="454546"/>
        </w:rPr>
        <w:t>We are developing a selective CBP degrader and plan to exploit the bi-directional synthetic lethal relationship it shares with its paralog acetyltransferase, EP300, to identify and treat those patients with EP300 mutated cancers. We believe selectively targeting and degrading CBP will potentially offer increased anti-tumor activity resulting from the tolerability advantage compared with non-selectively degrading both targets.</w:t>
      </w:r>
    </w:p>
    <w:p>
      <w:pPr>
        <w:spacing w:after="0" w:line="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454546"/>
        </w:rPr>
        <w:t>With more advanced degraders of CBP, we have generated data in several cell derived xenograft (“CDX”) mouse models which include gastric, colorectal, and bladder models. As seen in Figure 10 below, the degrader denoted as FHT-CBPd-9 appears well-tolerated based on the limited mouse body weight percentage changes and achieves tumor growth inhibition in the bladder model and tumor regression in the gastric model.</w:t>
      </w:r>
    </w:p>
    <w:p>
      <w:pPr>
        <w:sectPr>
          <w:pgSz w:w="11880" w:h="15480" w:orient="portrait"/>
          <w:cols w:equalWidth="0" w:num="1">
            <w:col w:w="10240"/>
          </w:cols>
          <w:pgMar w:left="820" w:top="9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19</w:t>
      </w:r>
    </w:p>
    <w:p>
      <w:pPr>
        <w:sectPr>
          <w:pgSz w:w="11880" w:h="15480" w:orient="portrait"/>
          <w:cols w:equalWidth="0" w:num="1">
            <w:col w:w="10240"/>
          </w:cols>
          <w:pgMar w:left="820" w:top="980" w:right="820" w:bottom="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514985</wp:posOffset>
            </wp:positionH>
            <wp:positionV relativeFrom="page">
              <wp:posOffset>351790</wp:posOffset>
            </wp:positionV>
            <wp:extent cx="6513830" cy="295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513830" cy="295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454546"/>
        </w:rPr>
        <w:t>Figure 10. Selective CBP Degradation Results in Significant Anti-Tumor Activity in EP300mut Solid Tumor Models.</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Historically, targeting CBP and EP300 has been attempted with dual inhibitors – therapeutics that simultaneously inhibit both the function of CBP and EP300. It has been reported in the literature that these compounds in both pre-clinical as well as the clinical setting can cause thrombocytopenia, low counts of platelet cells that are important in the clotting of blood. We have demonstrated that selective degradation of either CBP alone or EP300 alone in animal models does not cause thrombocytopenia as shown in Figure 11 below. In the figure, we show that a dual bromodomain inhibitor which inhibits both CBP and EP300 causes a meaningful drop in platelets. In contrast, our selective degraders of EP300 and CBP, FHT-EP300d and FHT-CBPd respectively, do not cause a drop in platelets at doses that are relevant and achieve efficacy in the animal models shown in Figure 10 (FHT-CBPd) and Figure 12 (FHT-EP300d).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85725</wp:posOffset>
            </wp:positionV>
            <wp:extent cx="5067300" cy="2790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067300" cy="279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840" w:right="40"/>
        <w:spacing w:after="0" w:line="295" w:lineRule="auto"/>
        <w:rPr>
          <w:sz w:val="20"/>
          <w:szCs w:val="20"/>
          <w:color w:val="auto"/>
        </w:rPr>
      </w:pPr>
      <w:r>
        <w:rPr>
          <w:rFonts w:ascii="Times New Roman" w:cs="Times New Roman" w:eastAsia="Times New Roman" w:hAnsi="Times New Roman"/>
          <w:sz w:val="20"/>
          <w:szCs w:val="20"/>
          <w:b w:val="1"/>
          <w:bCs w:val="1"/>
          <w:color w:val="454546"/>
        </w:rPr>
        <w:t>Figure 11. Selective degraders of CBP and EP300 demonstrate that they do not reduce platelet counts as compared to a dual inhibitor of both CBP and EP300.</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Selective EP300 Degrader for EP300 Dependent Cancers and CBP Mutated Cancers</w:t>
      </w:r>
    </w:p>
    <w:p>
      <w:pPr>
        <w:spacing w:after="0" w:line="74"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9"/>
          <w:szCs w:val="19"/>
          <w:color w:val="454546"/>
        </w:rPr>
        <w:t>We are developing a selective EP300 degrader targeting EP300 dependent cancers and CBP mutant cancers, including multiple myeloma, diffuse large B-cell lymphoma (“DLBCL”), acute myeloid leukemia and myelodysplastic syndrome. According to</w:t>
      </w:r>
    </w:p>
    <w:p>
      <w:pPr>
        <w:sectPr>
          <w:pgSz w:w="11880" w:h="15480" w:orient="portrait"/>
          <w:cols w:equalWidth="0" w:num="1">
            <w:col w:w="10220"/>
          </w:cols>
          <w:pgMar w:left="820" w:top="1440" w:right="84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20</w:t>
      </w:r>
    </w:p>
    <w:p>
      <w:pPr>
        <w:sectPr>
          <w:pgSz w:w="11880" w:h="15480" w:orient="portrait"/>
          <w:cols w:equalWidth="0" w:num="1">
            <w:col w:w="10220"/>
          </w:cols>
          <w:pgMar w:left="820" w:top="1440" w:right="840" w:bottom="0" w:gutter="0" w:footer="0" w:header="0"/>
          <w:type w:val="continuous"/>
        </w:sectPr>
      </w:pPr>
    </w:p>
    <w:bookmarkStart w:id="22" w:name="page23"/>
    <w:bookmarkEnd w:id="22"/>
    <w:p>
      <w:pPr>
        <w:jc w:val="both"/>
        <w:ind w:right="120"/>
        <w:spacing w:after="0" w:line="272" w:lineRule="auto"/>
        <w:rPr>
          <w:sz w:val="20"/>
          <w:szCs w:val="20"/>
          <w:color w:val="auto"/>
        </w:rPr>
      </w:pPr>
      <w:r>
        <w:rPr>
          <w:rFonts w:ascii="Times New Roman" w:cs="Times New Roman" w:eastAsia="Times New Roman" w:hAnsi="Times New Roman"/>
          <w:sz w:val="20"/>
          <w:szCs w:val="20"/>
          <w:color w:val="454546"/>
        </w:rPr>
        <w:t>Clarivate, the annual U.S. incidence of multiple myeloma, DLBCL, acute myeloid leukemia and myelodysplastic syndrome in the U.S. exceeds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518275" cy="2997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6518275"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840" w:right="260"/>
        <w:spacing w:after="0" w:line="295" w:lineRule="auto"/>
        <w:rPr>
          <w:sz w:val="20"/>
          <w:szCs w:val="20"/>
          <w:color w:val="auto"/>
        </w:rPr>
      </w:pPr>
      <w:r>
        <w:rPr>
          <w:rFonts w:ascii="Times New Roman" w:cs="Times New Roman" w:eastAsia="Times New Roman" w:hAnsi="Times New Roman"/>
          <w:sz w:val="20"/>
          <w:szCs w:val="20"/>
          <w:b w:val="1"/>
          <w:bCs w:val="1"/>
          <w:color w:val="454546"/>
        </w:rPr>
        <w:t>Figure 12. EP300 Degradation Results in Significant Tumor Growth Inhibition in Multiple Myeloma, DLBCL and Prostate Models.</w:t>
      </w:r>
    </w:p>
    <w:p>
      <w:pPr>
        <w:spacing w:after="0" w:line="39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20"/>
          <w:szCs w:val="20"/>
          <w:color w:val="454546"/>
        </w:rPr>
        <w:t>As seen in Figure 12, the degrader denoted as FHT-EP300d-32 appears well-tolerated based on the limited mouse body weight percentage changes and achieves tumor growth inhibition in the multiple myeloma, DLBCL, and AR+ prostate models. In the AR+ prostate model, FHD-EP300d achieves better tumor growth inhibition than enzalutamide, an androgen receptor inhibitor that is presently used to treat patients with prostate cancer.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Selective ARID1B Degrader for ARID1A Mutated Cancers</w:t>
      </w:r>
    </w:p>
    <w:p>
      <w:pPr>
        <w:spacing w:after="0" w:line="13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454546"/>
        </w:rPr>
        <w:t>The ARID1A subunit is the most mutated subunit within the BAF complex. Mutations in ARID1A confer a dependency on the ARID1B subunit of the BAF complex. ARID1A mutations are implicated in endometrial, gastric, gastroesophageal junction, bladder and NSCLC. According to Clarivate the annual U.S. incidence of endometrial, gastric, gastroesophageal junction, bladder and non small cell lung cancer exceeds 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77470</wp:posOffset>
            </wp:positionV>
            <wp:extent cx="3742690" cy="2438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3742690" cy="243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840"/>
        <w:spacing w:after="0" w:line="324" w:lineRule="auto"/>
        <w:rPr>
          <w:sz w:val="20"/>
          <w:szCs w:val="20"/>
          <w:color w:val="auto"/>
        </w:rPr>
      </w:pPr>
      <w:r>
        <w:rPr>
          <w:rFonts w:ascii="Times New Roman" w:cs="Times New Roman" w:eastAsia="Times New Roman" w:hAnsi="Times New Roman"/>
          <w:sz w:val="19"/>
          <w:szCs w:val="19"/>
          <w:b w:val="1"/>
          <w:bCs w:val="1"/>
          <w:color w:val="454546"/>
        </w:rPr>
        <w:t>Figure 13. In a screen of over 1,000 cancer cell lines, CRISPR knockout of the ARID1B gene resulted in selective growth inhibition of cell lines containing mutations in ARID1A, establishing the dependency on ARID1B in these cell lines.</w:t>
      </w:r>
    </w:p>
    <w:p>
      <w:pPr>
        <w:spacing w:after="0" w:line="134" w:lineRule="exact"/>
        <w:rPr>
          <w:sz w:val="20"/>
          <w:szCs w:val="20"/>
          <w:color w:val="auto"/>
        </w:rPr>
      </w:pPr>
    </w:p>
    <w:p>
      <w:pPr>
        <w:ind w:right="500"/>
        <w:spacing w:after="0" w:line="315" w:lineRule="auto"/>
        <w:rPr>
          <w:sz w:val="20"/>
          <w:szCs w:val="20"/>
          <w:color w:val="auto"/>
        </w:rPr>
      </w:pPr>
      <w:r>
        <w:rPr>
          <w:rFonts w:ascii="Times New Roman" w:cs="Times New Roman" w:eastAsia="Times New Roman" w:hAnsi="Times New Roman"/>
          <w:sz w:val="19"/>
          <w:szCs w:val="19"/>
          <w:color w:val="454546"/>
        </w:rPr>
        <w:t>Since ARID1B is a scaffolding protein with no known enzymatic domains or function, our strategy is to utilize protein degradation to selectively target and remove ARID1B from BAF complexes. Our platform allows us to generate full BAF</w:t>
      </w:r>
    </w:p>
    <w:p>
      <w:pPr>
        <w:sectPr>
          <w:pgSz w:w="11880" w:h="15480" w:orient="portrait"/>
          <w:cols w:equalWidth="0" w:num="1">
            <w:col w:w="10220"/>
          </w:cols>
          <w:pgMar w:left="820" w:top="504" w:right="840" w:bottom="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21</w:t>
      </w:r>
    </w:p>
    <w:p>
      <w:pPr>
        <w:sectPr>
          <w:pgSz w:w="11880" w:h="15480" w:orient="portrait"/>
          <w:cols w:equalWidth="0" w:num="1">
            <w:col w:w="10220"/>
          </w:cols>
          <w:pgMar w:left="820" w:top="504" w:right="840" w:bottom="0" w:gutter="0" w:footer="0" w:header="0"/>
          <w:type w:val="continuous"/>
        </w:sectPr>
      </w:pPr>
    </w:p>
    <w:bookmarkStart w:id="23" w:name="page24"/>
    <w:bookmarkEnd w:id="23"/>
    <w:p>
      <w:pPr>
        <w:ind w:right="180"/>
        <w:spacing w:after="0" w:line="262" w:lineRule="auto"/>
        <w:rPr>
          <w:sz w:val="20"/>
          <w:szCs w:val="20"/>
          <w:color w:val="auto"/>
        </w:rPr>
      </w:pPr>
      <w:r>
        <w:rPr>
          <w:rFonts w:ascii="Times New Roman" w:cs="Times New Roman" w:eastAsia="Times New Roman" w:hAnsi="Times New Roman"/>
          <w:sz w:val="20"/>
          <w:szCs w:val="20"/>
          <w:color w:val="454546"/>
        </w:rPr>
        <w:t>complexes containing only ARID1A or ARID1B. Using our platform, we have conducted high throughput screens and have identified and validated selective small molecule binders to the ARID1B protein and use these binders as starting points for generating heterobifunctional protein degraders. We have used a structure-based hypothesis to drive optimization of multiple ARID1B binders toward nM affinity with selectivity over ARID1A.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wp:posOffset>
            </wp:positionV>
            <wp:extent cx="5943600" cy="334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943600" cy="334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454546"/>
        </w:rPr>
        <w:t>Figure 14. Structure-based optimization improves ARID1B binding affinity of ligands from 100uM to less than 200nM</w:t>
      </w:r>
    </w:p>
    <w:p>
      <w:pPr>
        <w:spacing w:after="0" w:line="26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9"/>
          <w:szCs w:val="19"/>
          <w:color w:val="454546"/>
        </w:rPr>
        <w:t>The identified ARID1B binders have been successfully incorporated into bifunctional molecules to achieve selective degradation of ARID1B. The degradation was validated to operate through the ubiquitin-proteasome system via experiments with both ligase-inactive versions of the degrader as well as co-treatment with proteasome and neddylation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-12065</wp:posOffset>
            </wp:positionV>
            <wp:extent cx="5943600" cy="3323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5943600" cy="332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454546"/>
        </w:rPr>
        <w:t>Figure 15. ARID1B degradation is on-mechanism via ubiquitin-proteasome system</w:t>
      </w:r>
    </w:p>
    <w:p>
      <w:pPr>
        <w:sectPr>
          <w:pgSz w:w="11880" w:h="15480" w:orient="portrait"/>
          <w:cols w:equalWidth="0" w:num="1">
            <w:col w:w="10160"/>
          </w:cols>
          <w:pgMar w:left="820" w:top="50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54546"/>
        </w:rPr>
        <w:t>22</w:t>
      </w:r>
    </w:p>
    <w:p>
      <w:pPr>
        <w:sectPr>
          <w:pgSz w:w="11880" w:h="15480" w:orient="portrait"/>
          <w:cols w:equalWidth="0" w:num="1">
            <w:col w:w="10160"/>
          </w:cols>
          <w:pgMar w:left="820" w:top="504" w:right="900" w:bottom="0" w:gutter="0" w:footer="0" w:header="0"/>
          <w:type w:val="continuous"/>
        </w:sectPr>
      </w:pPr>
    </w:p>
    <w:bookmarkStart w:id="24" w:name="page25"/>
    <w:bookmarkEnd w:id="24"/>
    <w:p>
      <w:pPr>
        <w:spacing w:after="0" w:line="272" w:lineRule="auto"/>
        <w:rPr>
          <w:sz w:val="20"/>
          <w:szCs w:val="20"/>
          <w:color w:val="auto"/>
        </w:rPr>
      </w:pPr>
      <w:r>
        <w:rPr>
          <w:rFonts w:ascii="Times New Roman" w:cs="Times New Roman" w:eastAsia="Times New Roman" w:hAnsi="Times New Roman"/>
          <w:sz w:val="20"/>
          <w:szCs w:val="20"/>
          <w:color w:val="454546"/>
        </w:rPr>
        <w:t>A high level of selectivity is achieved with the ARD1B degrader as evidenced by both discrete HiBiT assay readouts against key off-targets (ARID1A, SMARCA2, SMARCA4) as well as global proteomics.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278130</wp:posOffset>
            </wp:positionV>
            <wp:extent cx="5943600" cy="334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5943600" cy="334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Figure 16. ARID1B degrader exhibits selective degradation as evidenced by global proteomics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Induced Proximity Platform: Extension of Protein Degrader Platform</w:t>
      </w:r>
    </w:p>
    <w:p>
      <w:pPr>
        <w:spacing w:after="0" w:line="12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454546"/>
        </w:rPr>
        <w:t>We are expanding our platform beyond heterobifunctional degraders into induced proximity. Heterobifunctional degraders involve recruiting a ubiquitin ligase to a protein target where it can conjugate ubiquitin proteins onto the target thereby targeting it for degradation. This process can be thought of as a specific example of a more general concept of induced proximity which represents the recruitment of a biological activity to a specific target site. We are exploring different possibilities for implementing this approach including: recruiting a de-ubiquitinase to a target in order to stabilize that target, and recruiting an activator such as BAF to a site on chromatin in order to activate a repressed gene and thereby ‘turn on that gene’.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We believe that our platform is well suited to expand into induced proximity because of several factors, including:</w:t>
      </w:r>
    </w:p>
    <w:p>
      <w:pPr>
        <w:spacing w:after="0" w:line="130" w:lineRule="exact"/>
        <w:rPr>
          <w:sz w:val="20"/>
          <w:szCs w:val="20"/>
          <w:color w:val="auto"/>
        </w:rPr>
      </w:pPr>
    </w:p>
    <w:p>
      <w:pPr>
        <w:ind w:left="720" w:hanging="369"/>
        <w:spacing w:after="0"/>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extensive knowledge of chromatin biology;</w:t>
      </w:r>
    </w:p>
    <w:p>
      <w:pPr>
        <w:spacing w:after="0" w:line="250" w:lineRule="exact"/>
        <w:rPr>
          <w:rFonts w:ascii="Times New Roman" w:cs="Times New Roman" w:eastAsia="Times New Roman" w:hAnsi="Times New Roman"/>
          <w:sz w:val="20"/>
          <w:szCs w:val="20"/>
          <w:color w:val="454546"/>
        </w:rPr>
      </w:pPr>
    </w:p>
    <w:p>
      <w:pPr>
        <w:ind w:left="720" w:hanging="369"/>
        <w:spacing w:after="0"/>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existing chemical library specifically designed to link two binders and create heterobifuctional molecules;</w:t>
      </w:r>
    </w:p>
    <w:p>
      <w:pPr>
        <w:spacing w:after="0" w:line="250" w:lineRule="exact"/>
        <w:rPr>
          <w:rFonts w:ascii="Times New Roman" w:cs="Times New Roman" w:eastAsia="Times New Roman" w:hAnsi="Times New Roman"/>
          <w:sz w:val="20"/>
          <w:szCs w:val="20"/>
          <w:color w:val="454546"/>
        </w:rPr>
      </w:pPr>
    </w:p>
    <w:p>
      <w:pPr>
        <w:ind w:left="720" w:hanging="369"/>
        <w:spacing w:after="0"/>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suite of assays designed to characterize ternary complexes; and</w:t>
      </w:r>
    </w:p>
    <w:p>
      <w:pPr>
        <w:spacing w:after="0" w:line="250" w:lineRule="exact"/>
        <w:rPr>
          <w:rFonts w:ascii="Times New Roman" w:cs="Times New Roman" w:eastAsia="Times New Roman" w:hAnsi="Times New Roman"/>
          <w:sz w:val="20"/>
          <w:szCs w:val="20"/>
          <w:color w:val="454546"/>
        </w:rPr>
      </w:pPr>
    </w:p>
    <w:p>
      <w:pPr>
        <w:ind w:left="720" w:hanging="369"/>
        <w:spacing w:after="0"/>
        <w:tabs>
          <w:tab w:leader="none" w:pos="720" w:val="left"/>
        </w:tabs>
        <w:numPr>
          <w:ilvl w:val="0"/>
          <w:numId w:val="1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collection of binders to BAF and other chromatin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Currently we are evaluating the best opportunity for proof of concept in induced proximity.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Competition</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454546"/>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including, to our knowledge, our being the only company with the ability to study the chromatin regulatory system at scale, in context, and in an integrated way.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w:t>
      </w:r>
    </w:p>
    <w:p>
      <w:pPr>
        <w:sectPr>
          <w:pgSz w:w="11880" w:h="15480" w:orient="portrait"/>
          <w:cols w:equalWidth="0" w:num="1">
            <w:col w:w="10260"/>
          </w:cols>
          <w:pgMar w:left="820" w:top="504" w:right="800" w:bottom="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23</w:t>
      </w:r>
    </w:p>
    <w:p>
      <w:pPr>
        <w:sectPr>
          <w:pgSz w:w="11880" w:h="15480" w:orient="portrait"/>
          <w:cols w:equalWidth="0" w:num="1">
            <w:col w:w="10260"/>
          </w:cols>
          <w:pgMar w:left="820" w:top="504" w:right="800" w:bottom="0" w:gutter="0" w:footer="0" w:header="0"/>
          <w:type w:val="continuous"/>
        </w:sectPr>
      </w:pPr>
    </w:p>
    <w:bookmarkStart w:id="25" w:name="page26"/>
    <w:bookmarkEnd w:id="25"/>
    <w:p>
      <w:pPr>
        <w:ind w:right="120"/>
        <w:spacing w:after="0" w:line="255" w:lineRule="auto"/>
        <w:rPr>
          <w:sz w:val="20"/>
          <w:szCs w:val="20"/>
          <w:color w:val="auto"/>
        </w:rPr>
      </w:pPr>
      <w:r>
        <w:rPr>
          <w:rFonts w:ascii="Times New Roman" w:cs="Times New Roman" w:eastAsia="Times New Roman" w:hAnsi="Times New Roman"/>
          <w:sz w:val="20"/>
          <w:szCs w:val="20"/>
          <w:color w:val="454546"/>
        </w:rPr>
        <w:t>prove to be significant competitors, particularly through collaborative arrangements with large and established companies. These companies may be or may become interested in the chromatin regulatory system and rapidly develop programs that may compete with ours by studying the chromatin regulatory system at scale, in context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454546"/>
        </w:rPr>
        <w:t>We face competition from segments of the pharmaceutical, biotechnology and other related markets that pursue the development of therapies that target broad genetic expression mechanisms, including the chromatin regulatory system. In addition, we may face competition from companies developing product candidates that utilize protein degradation approaches, including Arvinas, Inc., C4 Therapeutics, Inc., Kymera Therapeutics, Inc., and Nurix Therapeutics, Inc. Further, several large pharmaceutical companies have disclosed preclinical investments in this field. Our competitors will also include companies that are or will be developing other targeted therapies, including small molecule, antibody, or protein degraders for the same indications that we are targeting including Amphista, CellCentric Limited, IDEAYA Biosciences Inc., Novartis AG, Plexium, Inc., Opna Bio, Relay Therapeutics, Inc, SK Bio, and Tolremo Therapeutics AG. In addition to these competitors, recent news and publications suggest multiple assets in earlier stages of development from Chinese companies.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regardless of whether they target the chromatin regulatory system as a mechanism of action.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Intellectual Property</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We seek to protect the intellectual property and proprietary technology that we consider important to our business, including by pursuing patent applications that cover our product candidates and methods of using the same, as well as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454546"/>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Patent Cooperation Treaty (“PCT”)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454546"/>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 Patent and Trademark Office (the “USPTO”), in examining and granting a patent, or may be shortened if a patent is terminally disclaimed over an earlier filed patent. The term of a patent claiming a new drug product may also be eligible for a limited patent term extension when FDA approval is granted, provided statutory and regulatory requirements are met. The restoration period</w:t>
      </w:r>
    </w:p>
    <w:p>
      <w:pPr>
        <w:sectPr>
          <w:pgSz w:w="11880" w:h="15480" w:orient="portrait"/>
          <w:cols w:equalWidth="0" w:num="1">
            <w:col w:w="10260"/>
          </w:cols>
          <w:pgMar w:left="820" w:top="504" w:right="800" w:bottom="0" w:gutter="0" w:footer="0" w:header="0"/>
        </w:sect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24</w:t>
      </w:r>
    </w:p>
    <w:p>
      <w:pPr>
        <w:sectPr>
          <w:pgSz w:w="11880" w:h="15480" w:orient="portrait"/>
          <w:cols w:equalWidth="0" w:num="1">
            <w:col w:w="10260"/>
          </w:cols>
          <w:pgMar w:left="820" w:top="504" w:right="800" w:bottom="0" w:gutter="0" w:footer="0" w:header="0"/>
          <w:type w:val="continuous"/>
        </w:sectPr>
      </w:pPr>
    </w:p>
    <w:bookmarkStart w:id="26" w:name="page27"/>
    <w:bookmarkEnd w:id="26"/>
    <w:p>
      <w:pPr>
        <w:ind w:right="100"/>
        <w:spacing w:after="0" w:line="252" w:lineRule="auto"/>
        <w:rPr>
          <w:sz w:val="20"/>
          <w:szCs w:val="20"/>
          <w:color w:val="auto"/>
        </w:rPr>
      </w:pPr>
      <w:r>
        <w:rPr>
          <w:rFonts w:ascii="Times New Roman" w:cs="Times New Roman" w:eastAsia="Times New Roman" w:hAnsi="Times New Roman"/>
          <w:sz w:val="20"/>
          <w:szCs w:val="20"/>
          <w:color w:val="454546"/>
        </w:rPr>
        <w:t>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total patent term, including the restoration period, must not exceed 14 years following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any issued patents covering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21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454546"/>
        </w:rPr>
        <w:t>As of March 1, 2026, we owned more than 25 pending U.S. non-provisional patent applications and more than 100 pending ex-U.S. patent applications and granted patents. We currently do not in-license any issued patents with respect to any of our product candidates or our platform technology.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FHD-909</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454546"/>
        </w:rPr>
        <w:t>As of March 1, 2026, we owned one U.S. patent and more than 50 pending U.S. and ex-U.S. non-provisional patent applications that relate to FHD-909, including its composition and various methods of use. Any U.S. or ex-U.S. patent that may issue from these patent applications would be scheduled to expire between 2041-2043, excluding any additional term for patent term adjustment or patent term extension, if applicable.</w:t>
      </w:r>
    </w:p>
    <w:p>
      <w:pPr>
        <w:spacing w:after="0" w:line="76" w:lineRule="exact"/>
        <w:rPr>
          <w:sz w:val="20"/>
          <w:szCs w:val="20"/>
          <w:color w:val="auto"/>
        </w:rPr>
      </w:pPr>
    </w:p>
    <w:p>
      <w:pPr>
        <w:ind w:firstLine="1"/>
        <w:spacing w:after="0" w:line="253" w:lineRule="auto"/>
        <w:rPr>
          <w:sz w:val="20"/>
          <w:szCs w:val="20"/>
          <w:color w:val="auto"/>
        </w:rPr>
      </w:pPr>
      <w:r>
        <w:rPr>
          <w:rFonts w:ascii="Times New Roman" w:cs="Times New Roman" w:eastAsia="Times New Roman" w:hAnsi="Times New Roman"/>
          <w:sz w:val="20"/>
          <w:szCs w:val="20"/>
          <w:color w:val="454546"/>
        </w:rPr>
        <w:t>In addition to patent applications, we rely on unpatented trade secrets, know-how and continuing technological innovation to develop and maintain our competitive position. However, trade secrets and confidential know-how are difficult to protect. In particular, we consider various aspects of our Gene Traffic Control platform to constitute our trade secrets and know-how. We seek to protect our proprietary information, in part, by executing confidentiality agreements with our collaborators and scientific advisors and non-competition, non-solicitation, confidentiality and invention assignment agreements with our employees and consultants.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person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Strategic Collaboration with Lilly</w:t>
      </w:r>
    </w:p>
    <w:p>
      <w:pPr>
        <w:spacing w:after="0" w:line="13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454546"/>
        </w:rPr>
        <w:t>On December 10, 2021, we entered into a strategic collaboration with Lilly. Under the terms of the Lilly Collaboration Agreement, the parties will seek to leverage our platform technology to research, discover and develop therapeutic molecules directed to the SMARCA2 target and an additional undisclosed oncology target, and to three additional discovery programs. Lilly will pursue the clinical development, manufacture and commercialization of products derived from or containing certain compounds developed and Foghorn will have the right to participate in the development and commercialization of these products for the U.S. market.</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454546"/>
        </w:rPr>
        <w:t>Under the Lilly Collaboration Agreement, Lilly made an upfront payment of $300.0 million, and a concurrent $80.0 million equity investment in Foghorn. We are eligible to receive a share of U.S. profits for co-commercialized products. Lilly and Foghorn will share 50/50 in the U.S. economics for products directed to the SMARCA2-selective program and one other undisclosed target. For the three Discovery Programs, Foghorn will have an option to participate in a percentage of the U.S. economics following the successful completion of dose-finding toxicity studies. For these programs, Foghorn is eligible to receive development and commercialization milestones of up to an aggregate of approximately $1.3 billion if Foghorn does not exercise its option to participate in the U.S. economics for any discovery program. In addition, Lilly will pay the Company</w:t>
      </w:r>
    </w:p>
    <w:p>
      <w:pPr>
        <w:sectPr>
          <w:pgSz w:w="11880" w:h="15480" w:orient="portrait"/>
          <w:cols w:equalWidth="0" w:num="1">
            <w:col w:w="10240"/>
          </w:cols>
          <w:pgMar w:left="820" w:top="504" w:right="820" w:bottom="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25</w:t>
      </w:r>
    </w:p>
    <w:p>
      <w:pPr>
        <w:sectPr>
          <w:pgSz w:w="11880" w:h="15480" w:orient="portrait"/>
          <w:cols w:equalWidth="0" w:num="1">
            <w:col w:w="10240"/>
          </w:cols>
          <w:pgMar w:left="820" w:top="504" w:right="820" w:bottom="0" w:gutter="0" w:footer="0" w:header="0"/>
          <w:type w:val="continuous"/>
        </w:sectPr>
      </w:pPr>
    </w:p>
    <w:bookmarkStart w:id="27" w:name="page28"/>
    <w:bookmarkEnd w:id="27"/>
    <w:p>
      <w:pPr>
        <w:ind w:right="300"/>
        <w:spacing w:after="0" w:line="259" w:lineRule="auto"/>
        <w:rPr>
          <w:sz w:val="20"/>
          <w:szCs w:val="20"/>
          <w:color w:val="auto"/>
        </w:rPr>
      </w:pPr>
      <w:r>
        <w:rPr>
          <w:rFonts w:ascii="Times New Roman" w:cs="Times New Roman" w:eastAsia="Times New Roman" w:hAnsi="Times New Roman"/>
          <w:sz w:val="20"/>
          <w:szCs w:val="20"/>
          <w:color w:val="454546"/>
        </w:rPr>
        <w:t>tiered royalties on product sales on a country-by-country and product-by-product basis (1) at royalty rates ranging from low-double digits to the twenties on ex-U.S. sales for products directed to the SMARCA2-selective program and one other undisclosed target and (2) at royalty rates ranging from mid-single digits to low-double digits on sales outside the U.S. for products directed to the Discovery Programs, during the applicable royalty term and subject to certain royalty step-down provisions.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Manufacturing</w:t>
      </w:r>
    </w:p>
    <w:p>
      <w:pPr>
        <w:spacing w:after="0" w:line="13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454546"/>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All of our drug candidates are small molecules and are manufactured in synthetic processes from available starting materials.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chemistry appears amenable to scale up and does not currently require unusual equipment in the manufacturing process.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We expect to continue to develop product candidates that can be produced cost-effectively at contract manufacturing facilities.</w:t>
      </w:r>
    </w:p>
    <w:p>
      <w:pPr>
        <w:spacing w:after="0" w:line="105"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20"/>
          <w:szCs w:val="20"/>
          <w:color w:val="454546"/>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Commercialization</w:t>
      </w:r>
    </w:p>
    <w:p>
      <w:pPr>
        <w:spacing w:after="0" w:line="13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454546"/>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w:t>
      </w:r>
    </w:p>
    <w:p>
      <w:pPr>
        <w:spacing w:after="0" w:line="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color w:val="454546"/>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Government Regulation</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454546"/>
        </w:rPr>
        <w:t>The FDA and other regulatory authorities at federal, state and local levels, as well as in ex-United States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ex-United States statutes and regulations requires the expenditure of substantial time and financial resources.</w:t>
      </w:r>
    </w:p>
    <w:p>
      <w:pPr>
        <w:spacing w:after="0" w:line="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454546"/>
        </w:rPr>
        <w:t>In the United States, where we are initially focusing our drug development, the FDA regulates drug products under the Federal Food, Drug, and Cosmetic Act (the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68"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color w:val="454546"/>
        </w:rPr>
        <w:t>The process required by the FDA before our product candidates are approved as drugs for therapeutic indications and may be marketed in the United States generally involves the following:</w:t>
      </w:r>
    </w:p>
    <w:p>
      <w:pPr>
        <w:spacing w:after="0" w:line="49" w:lineRule="exact"/>
        <w:rPr>
          <w:sz w:val="20"/>
          <w:szCs w:val="20"/>
          <w:color w:val="auto"/>
        </w:rPr>
      </w:pPr>
    </w:p>
    <w:p>
      <w:pPr>
        <w:ind w:left="1080" w:right="60" w:hanging="549"/>
        <w:spacing w:after="0" w:line="287" w:lineRule="auto"/>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completion of extensive preclinical studies in accordance with applicable regulations, including studies conducted in accordance with good laboratory practice (“GLP”) requirements;</w:t>
      </w:r>
    </w:p>
    <w:p>
      <w:pPr>
        <w:spacing w:after="0" w:line="49" w:lineRule="exact"/>
        <w:rPr>
          <w:rFonts w:ascii="Times New Roman" w:cs="Times New Roman" w:eastAsia="Times New Roman" w:hAnsi="Times New Roman"/>
          <w:sz w:val="20"/>
          <w:szCs w:val="20"/>
          <w:color w:val="454546"/>
        </w:rPr>
      </w:pPr>
    </w:p>
    <w:p>
      <w:pPr>
        <w:ind w:left="1080" w:right="180" w:hanging="549"/>
        <w:spacing w:after="0" w:line="287" w:lineRule="auto"/>
        <w:tabs>
          <w:tab w:leader="none" w:pos="1080" w:val="left"/>
        </w:tabs>
        <w:numPr>
          <w:ilvl w:val="0"/>
          <w:numId w:val="1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completion of the manufacture, under cGMP conditions, of the drug substance and drug product that the sponsor intends to use in human clinical trials along with required analytical and stability testing;</w:t>
      </w:r>
    </w:p>
    <w:p>
      <w:pPr>
        <w:sectPr>
          <w:pgSz w:w="11880" w:h="15480" w:orient="portrait"/>
          <w:cols w:equalWidth="0" w:num="1">
            <w:col w:w="10260"/>
          </w:cols>
          <w:pgMar w:left="820" w:top="504" w:right="80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26</w:t>
      </w:r>
    </w:p>
    <w:p>
      <w:pPr>
        <w:sectPr>
          <w:pgSz w:w="11880" w:h="15480" w:orient="portrait"/>
          <w:cols w:equalWidth="0" w:num="1">
            <w:col w:w="10260"/>
          </w:cols>
          <w:pgMar w:left="820" w:top="504" w:right="800" w:bottom="0" w:gutter="0" w:footer="0" w:header="0"/>
          <w:type w:val="continuous"/>
        </w:sectPr>
      </w:pPr>
    </w:p>
    <w:bookmarkStart w:id="28" w:name="page29"/>
    <w:bookmarkEnd w:id="28"/>
    <w:p>
      <w:pPr>
        <w:ind w:left="1100" w:hanging="549"/>
        <w:spacing w:after="0"/>
        <w:tabs>
          <w:tab w:leader="none" w:pos="110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submission to the FDA of an IND, which must become effective before clinical trials may begin;</w:t>
      </w:r>
    </w:p>
    <w:p>
      <w:pPr>
        <w:spacing w:after="0" w:line="129" w:lineRule="exact"/>
        <w:rPr>
          <w:rFonts w:ascii="Times New Roman" w:cs="Times New Roman" w:eastAsia="Times New Roman" w:hAnsi="Times New Roman"/>
          <w:sz w:val="20"/>
          <w:szCs w:val="20"/>
          <w:color w:val="454546"/>
        </w:rPr>
      </w:pPr>
    </w:p>
    <w:p>
      <w:pPr>
        <w:ind w:left="1100" w:hanging="549"/>
        <w:spacing w:after="0" w:line="287" w:lineRule="auto"/>
        <w:tabs>
          <w:tab w:leader="none" w:pos="110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approval by an institutional review board (“IRB”) or independent ethics committee at each clinical trial site before each trial may be initiated;</w:t>
      </w:r>
    </w:p>
    <w:p>
      <w:pPr>
        <w:spacing w:after="0" w:line="49" w:lineRule="exact"/>
        <w:rPr>
          <w:rFonts w:ascii="Times New Roman" w:cs="Times New Roman" w:eastAsia="Times New Roman" w:hAnsi="Times New Roman"/>
          <w:sz w:val="20"/>
          <w:szCs w:val="20"/>
          <w:color w:val="454546"/>
        </w:rPr>
      </w:pPr>
    </w:p>
    <w:p>
      <w:pPr>
        <w:ind w:left="1100" w:right="200" w:hanging="549"/>
        <w:spacing w:after="0" w:line="269" w:lineRule="auto"/>
        <w:tabs>
          <w:tab w:leader="none" w:pos="110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performance of adequate and well-controlled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66"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submission to the FDA of a New Drug Application (“NDA”);</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determination by the FDA within 60 days of its receipt of an NDA, to accept the filing for review;</w:t>
      </w:r>
    </w:p>
    <w:p>
      <w:pPr>
        <w:spacing w:after="0" w:line="129" w:lineRule="exact"/>
        <w:rPr>
          <w:rFonts w:ascii="Times New Roman" w:cs="Times New Roman" w:eastAsia="Times New Roman" w:hAnsi="Times New Roman"/>
          <w:sz w:val="20"/>
          <w:szCs w:val="20"/>
          <w:color w:val="454546"/>
        </w:rPr>
      </w:pPr>
    </w:p>
    <w:p>
      <w:pPr>
        <w:ind w:left="1080" w:right="300" w:hanging="530"/>
        <w:spacing w:after="0" w:line="269" w:lineRule="auto"/>
        <w:tabs>
          <w:tab w:leader="none" w:pos="108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66" w:lineRule="exact"/>
        <w:rPr>
          <w:rFonts w:ascii="Times New Roman" w:cs="Times New Roman" w:eastAsia="Times New Roman" w:hAnsi="Times New Roman"/>
          <w:sz w:val="20"/>
          <w:szCs w:val="20"/>
          <w:color w:val="454546"/>
        </w:rPr>
      </w:pPr>
    </w:p>
    <w:p>
      <w:pPr>
        <w:ind w:left="1080" w:right="100" w:hanging="530"/>
        <w:spacing w:after="0" w:line="287" w:lineRule="auto"/>
        <w:tabs>
          <w:tab w:leader="none" w:pos="108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potentially, satisfactory completion of FDA audit of the clinical trial sites that generated the data in support of the NDA;</w:t>
      </w:r>
    </w:p>
    <w:p>
      <w:pPr>
        <w:spacing w:after="0" w:line="4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payment of user fees for FDA review of the NDA; and</w:t>
      </w:r>
    </w:p>
    <w:p>
      <w:pPr>
        <w:spacing w:after="0" w:line="129" w:lineRule="exact"/>
        <w:rPr>
          <w:rFonts w:ascii="Times New Roman" w:cs="Times New Roman" w:eastAsia="Times New Roman" w:hAnsi="Times New Roman"/>
          <w:sz w:val="20"/>
          <w:szCs w:val="20"/>
          <w:color w:val="454546"/>
        </w:rPr>
      </w:pPr>
    </w:p>
    <w:p>
      <w:pPr>
        <w:ind w:left="1080" w:right="420" w:hanging="531"/>
        <w:spacing w:after="0" w:line="287" w:lineRule="auto"/>
        <w:tabs>
          <w:tab w:leader="none" w:pos="1080" w:val="left"/>
        </w:tabs>
        <w:numPr>
          <w:ilvl w:val="0"/>
          <w:numId w:val="1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FDA review and approval of the NDA, including consideration of the views of any FDA advisory committee, prior to any commercial marketing or sale of the drug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Preclinical Studies and Clinical Trials for Drugs</w:t>
      </w:r>
    </w:p>
    <w:p>
      <w:pPr>
        <w:spacing w:after="0" w:line="13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454546"/>
        </w:rPr>
        <w:t xml:space="preserve">Before testing any drug in humans, the product candidate must undergo rigorous preclinical testing. Preclinical studies include laboratory evaluations of drug chemistry, formulation and stability, as well as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and animal studies to assess safety and in some cases to establish the rationale for therapeutic use. The conduct of preclinical studies is subject to United States federal and state regulation,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454546"/>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 or other grounds, such as a lack of observed efficacy.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92"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9"/>
          <w:szCs w:val="19"/>
          <w:color w:val="454546"/>
        </w:rPr>
        <w:t>A sponsor who wishes to conduct a clinical trial outside of the United States may, but need not, obtain FDA authorization to conduct the clinical trial under an IND. If a foreign clinical trial is not conducted under an IND, FDA will nevertheless accept</w:t>
      </w:r>
    </w:p>
    <w:p>
      <w:pPr>
        <w:sectPr>
          <w:pgSz w:w="11880" w:h="15480" w:orient="portrait"/>
          <w:cols w:equalWidth="0" w:num="1">
            <w:col w:w="10260"/>
          </w:cols>
          <w:pgMar w:left="800" w:top="504" w:right="820" w:bottom="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27</w:t>
      </w:r>
    </w:p>
    <w:p>
      <w:pPr>
        <w:sectPr>
          <w:pgSz w:w="11880" w:h="15480" w:orient="portrait"/>
          <w:cols w:equalWidth="0" w:num="1">
            <w:col w:w="10260"/>
          </w:cols>
          <w:pgMar w:left="800" w:top="504" w:right="820" w:bottom="0" w:gutter="0" w:footer="0" w:header="0"/>
          <w:type w:val="continuous"/>
        </w:sectPr>
      </w:pPr>
    </w:p>
    <w:bookmarkStart w:id="29" w:name="page30"/>
    <w:bookmarkEnd w:id="29"/>
    <w:p>
      <w:pPr>
        <w:ind w:right="20"/>
        <w:spacing w:after="0" w:line="287" w:lineRule="auto"/>
        <w:rPr>
          <w:sz w:val="20"/>
          <w:szCs w:val="20"/>
          <w:color w:val="auto"/>
        </w:rPr>
      </w:pPr>
      <w:r>
        <w:rPr>
          <w:rFonts w:ascii="Times New Roman" w:cs="Times New Roman" w:eastAsia="Times New Roman" w:hAnsi="Times New Roman"/>
          <w:sz w:val="20"/>
          <w:szCs w:val="20"/>
          <w:color w:val="454546"/>
        </w:rPr>
        <w:t>the results of the study in support of an NDA if the study was conducted in accordance with GCP requirements, and the FDA is able to validate the data through an onsite inspection if deemed necessary.</w:t>
      </w:r>
    </w:p>
    <w:p>
      <w:pPr>
        <w:spacing w:after="0" w:line="50"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color w:val="454546"/>
        </w:rPr>
        <w:t>Clinical trials to evaluate therapeutic indications to support NDAs for marketing approval are typically conducted in three sequential phases, which may overlap.</w:t>
      </w:r>
    </w:p>
    <w:p>
      <w:pPr>
        <w:spacing w:after="0" w:line="50" w:lineRule="exact"/>
        <w:rPr>
          <w:sz w:val="20"/>
          <w:szCs w:val="20"/>
          <w:color w:val="auto"/>
        </w:rPr>
      </w:pPr>
    </w:p>
    <w:p>
      <w:pPr>
        <w:ind w:left="1080" w:right="60" w:hanging="549"/>
        <w:spacing w:after="0" w:line="262" w:lineRule="auto"/>
        <w:tabs>
          <w:tab w:leader="none" w:pos="1080" w:val="left"/>
        </w:tabs>
        <w:numPr>
          <w:ilvl w:val="0"/>
          <w:numId w:val="1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i w:val="1"/>
          <w:iCs w:val="1"/>
          <w:color w:val="454546"/>
        </w:rPr>
        <w:t>Phase 1</w:t>
      </w:r>
      <w:r>
        <w:rPr>
          <w:rFonts w:ascii="Times New Roman" w:cs="Times New Roman" w:eastAsia="Times New Roman" w:hAnsi="Times New Roman"/>
          <w:sz w:val="20"/>
          <w:szCs w:val="20"/>
          <w:color w:val="454546"/>
        </w:rPr>
        <w:t>—Phase 1 clinical trials involve initial introduction of the investigational product into healthy human</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5" w:lineRule="exact"/>
        <w:rPr>
          <w:rFonts w:ascii="Times New Roman" w:cs="Times New Roman" w:eastAsia="Times New Roman" w:hAnsi="Times New Roman"/>
          <w:sz w:val="20"/>
          <w:szCs w:val="20"/>
          <w:color w:val="454546"/>
        </w:rPr>
      </w:pPr>
    </w:p>
    <w:p>
      <w:pPr>
        <w:jc w:val="both"/>
        <w:ind w:left="1080" w:hanging="549"/>
        <w:spacing w:after="0" w:line="269" w:lineRule="auto"/>
        <w:tabs>
          <w:tab w:leader="none" w:pos="1080" w:val="left"/>
        </w:tabs>
        <w:numPr>
          <w:ilvl w:val="0"/>
          <w:numId w:val="1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i w:val="1"/>
          <w:iCs w:val="1"/>
          <w:color w:val="454546"/>
        </w:rPr>
        <w:t>Phase 2</w:t>
      </w:r>
      <w:r>
        <w:rPr>
          <w:rFonts w:ascii="Times New Roman" w:cs="Times New Roman" w:eastAsia="Times New Roman" w:hAnsi="Times New Roman"/>
          <w:sz w:val="20"/>
          <w:szCs w:val="20"/>
          <w:color w:val="454546"/>
        </w:rPr>
        <w:t>—Phase 2 clinical trials typically involve administration of the investigational product to a limited patient</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population with a specified disease or condition to evaluate the drug’s potential efficacy, to determine the optimal dosages and dosing schedule and to identify possible adverse side effects and safety risks.</w:t>
      </w:r>
    </w:p>
    <w:p>
      <w:pPr>
        <w:spacing w:after="0" w:line="66" w:lineRule="exact"/>
        <w:rPr>
          <w:rFonts w:ascii="Times New Roman" w:cs="Times New Roman" w:eastAsia="Times New Roman" w:hAnsi="Times New Roman"/>
          <w:sz w:val="20"/>
          <w:szCs w:val="20"/>
          <w:color w:val="454546"/>
        </w:rPr>
      </w:pPr>
    </w:p>
    <w:p>
      <w:pPr>
        <w:ind w:left="1080" w:right="60" w:hanging="549"/>
        <w:spacing w:after="0" w:line="259" w:lineRule="auto"/>
        <w:tabs>
          <w:tab w:leader="none" w:pos="1080" w:val="left"/>
        </w:tabs>
        <w:numPr>
          <w:ilvl w:val="0"/>
          <w:numId w:val="1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i w:val="1"/>
          <w:iCs w:val="1"/>
          <w:color w:val="454546"/>
        </w:rPr>
        <w:t>Phase 3</w:t>
      </w:r>
      <w:r>
        <w:rPr>
          <w:rFonts w:ascii="Times New Roman" w:cs="Times New Roman" w:eastAsia="Times New Roman" w:hAnsi="Times New Roman"/>
          <w:sz w:val="20"/>
          <w:szCs w:val="20"/>
          <w:color w:val="454546"/>
        </w:rPr>
        <w:t>—Phase 3 clinical trials typically involve administration of the investigational product to an expanded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7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9"/>
          <w:szCs w:val="19"/>
          <w:color w:val="454546"/>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p>
    <w:p>
      <w:pPr>
        <w:spacing w:after="0" w:line="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454546"/>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454546"/>
        </w:rPr>
        <w:t>With the passage of the Food and Drug Omnibus Reform Act of 2022 (“FDORA”) signed by President Biden on December 29, 2022 as part of the Consolidated Appropriations Act, 2023 (H.R. 2617), Congress added a requirement for sponsors to develop and submit a diversity action plan for each Phase 3 clinical trial or any other “pivotal study” of a new drug or biological product. Action plans must include the sponsor’s goals for enrollment, the underlying rationale for those goals, and an explanation of how the sponsor intends to meet them. This requirement will apply with respect to clinical investigations for which enrollment commences 180 days after the publication of a final guidance by the FDA on diversity action plans. The statute directs FDA to issue new or revised draft guidance on diversity action plans by the end of 2023, and final guidance within 9 months of closing the comment period on such draft guidance. FDA has not yet published new or revised draft guidance.</w:t>
      </w:r>
    </w:p>
    <w:p>
      <w:pPr>
        <w:spacing w:after="0" w:line="81"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20"/>
          <w:szCs w:val="20"/>
          <w:color w:val="454546"/>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454546"/>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U.S. Marketing Approval for Drugs</w:t>
      </w:r>
    </w:p>
    <w:p>
      <w:pPr>
        <w:spacing w:after="0" w:line="13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454546"/>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w:t>
      </w:r>
    </w:p>
    <w:p>
      <w:pPr>
        <w:sectPr>
          <w:pgSz w:w="11880" w:h="15480" w:orient="portrait"/>
          <w:cols w:equalWidth="0" w:num="1">
            <w:col w:w="10180"/>
          </w:cols>
          <w:pgMar w:left="820" w:top="504" w:right="880" w:bottom="0" w:gutter="0" w:footer="0" w:header="0"/>
        </w:sect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28</w:t>
      </w:r>
    </w:p>
    <w:p>
      <w:pPr>
        <w:sectPr>
          <w:pgSz w:w="11880" w:h="15480" w:orient="portrait"/>
          <w:cols w:equalWidth="0" w:num="1">
            <w:col w:w="10180"/>
          </w:cols>
          <w:pgMar w:left="820" w:top="504" w:right="880" w:bottom="0" w:gutter="0" w:footer="0" w:header="0"/>
          <w:type w:val="continuous"/>
        </w:sectPr>
      </w:pPr>
    </w:p>
    <w:bookmarkStart w:id="30" w:name="page31"/>
    <w:bookmarkEnd w:id="30"/>
    <w:p>
      <w:pPr>
        <w:ind w:right="220"/>
        <w:spacing w:after="0" w:line="259" w:lineRule="auto"/>
        <w:rPr>
          <w:sz w:val="20"/>
          <w:szCs w:val="20"/>
          <w:color w:val="auto"/>
        </w:rPr>
      </w:pPr>
      <w:r>
        <w:rPr>
          <w:rFonts w:ascii="Times New Roman" w:cs="Times New Roman" w:eastAsia="Times New Roman" w:hAnsi="Times New Roman"/>
          <w:sz w:val="20"/>
          <w:szCs w:val="20"/>
          <w:color w:val="454546"/>
        </w:rPr>
        <w:t>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must approve an NDA before a drug may be marketed in the United States.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8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color w:val="454546"/>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76"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9"/>
          <w:szCs w:val="19"/>
          <w:color w:val="454546"/>
        </w:rPr>
        <w:t>The FDA also may require submission of a Risk Evaluation and Mitigation Strategy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6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color w:val="454546"/>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454546"/>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454546"/>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454546"/>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Orphan Drug Designation and Exclusivity</w:t>
      </w:r>
    </w:p>
    <w:p>
      <w:pPr>
        <w:spacing w:after="0" w:line="130"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9"/>
          <w:szCs w:val="19"/>
          <w:color w:val="454546"/>
        </w:rPr>
        <w:t>Under the Orphan Drug Act, the FDA may grant orphan designation to a drug intended to treat a rare disease or condition, which is a disease or condition that affects fewer than 200,000 individuals in the United States, or that affects more than 200,000 individuals in the United States where there is no reasonable expectation that the cost of developing and making the</w:t>
      </w:r>
    </w:p>
    <w:p>
      <w:pPr>
        <w:sectPr>
          <w:pgSz w:w="11880" w:h="15480" w:orient="portrait"/>
          <w:cols w:equalWidth="0" w:num="1">
            <w:col w:w="10240"/>
          </w:cols>
          <w:pgMar w:left="820" w:top="504" w:right="82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29</w:t>
      </w:r>
    </w:p>
    <w:p>
      <w:pPr>
        <w:sectPr>
          <w:pgSz w:w="11880" w:h="15480" w:orient="portrait"/>
          <w:cols w:equalWidth="0" w:num="1">
            <w:col w:w="10240"/>
          </w:cols>
          <w:pgMar w:left="820" w:top="504" w:right="820" w:bottom="0" w:gutter="0" w:footer="0" w:header="0"/>
          <w:type w:val="continuous"/>
        </w:sectPr>
      </w:pPr>
    </w:p>
    <w:bookmarkStart w:id="31" w:name="page32"/>
    <w:bookmarkEnd w:id="31"/>
    <w:p>
      <w:pPr>
        <w:ind w:right="60"/>
        <w:spacing w:after="0" w:line="262" w:lineRule="auto"/>
        <w:rPr>
          <w:sz w:val="20"/>
          <w:szCs w:val="20"/>
          <w:color w:val="auto"/>
        </w:rPr>
      </w:pPr>
      <w:r>
        <w:rPr>
          <w:rFonts w:ascii="Times New Roman" w:cs="Times New Roman" w:eastAsia="Times New Roman" w:hAnsi="Times New Roman"/>
          <w:sz w:val="20"/>
          <w:szCs w:val="20"/>
          <w:color w:val="454546"/>
        </w:rPr>
        <w:t>product available in the United States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454546"/>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drug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drug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drug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Expedited Development and Review Programs for Drugs</w:t>
      </w:r>
    </w:p>
    <w:p>
      <w:pPr>
        <w:spacing w:after="0" w:line="13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454546"/>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454546"/>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Rolling review means that the agency may review portions of the marketing application before the sponsor submits the complete application.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drug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454546"/>
        </w:rPr>
        <w:t>Accelerated Approval is usually contingent on a sponsor’s agreement to conduct additional post-approval studies to verify and describe the product’s clinical benefit. The FDA may withdraw approval of a drug or an indication approved under Accelerated Approval if, for example, the confirmatory trial fails to verify the predicted clinical benefit of the product. In addition, the FDA generally requires, as a condition for Accelerated Approval,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 FDORA signed by President Biden on December 29, 2022 as part of the Consolidated Appropriations Act, 2023 (H.R. 2617) includes numerous reforms to the Accelerated Approval process for drugs and biologics and enables the FDA to require, as appropriate, that a post-approval study be underway prior to granting accelerated approval. FDORA also expands the expedited withdrawal procedures already available to the FDA to allow the agency to use expedited procedures if a sponsor fails to conduct any required post-approval study of the</w:t>
      </w:r>
    </w:p>
    <w:p>
      <w:pPr>
        <w:sectPr>
          <w:pgSz w:w="11880" w:h="15480" w:orient="portrait"/>
          <w:cols w:equalWidth="0" w:num="1">
            <w:col w:w="10240"/>
          </w:cols>
          <w:pgMar w:left="820" w:top="504" w:right="820" w:bottom="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30</w:t>
      </w:r>
    </w:p>
    <w:p>
      <w:pPr>
        <w:sectPr>
          <w:pgSz w:w="11880" w:h="15480" w:orient="portrait"/>
          <w:cols w:equalWidth="0" w:num="1">
            <w:col w:w="10240"/>
          </w:cols>
          <w:pgMar w:left="820" w:top="504" w:right="820" w:bottom="0" w:gutter="0" w:footer="0" w:header="0"/>
          <w:type w:val="continuous"/>
        </w:sectPr>
      </w:pPr>
    </w:p>
    <w:bookmarkStart w:id="32" w:name="page33"/>
    <w:bookmarkEnd w:id="32"/>
    <w:p>
      <w:pPr>
        <w:ind w:right="20"/>
        <w:spacing w:after="0" w:line="262" w:lineRule="auto"/>
        <w:rPr>
          <w:sz w:val="20"/>
          <w:szCs w:val="20"/>
          <w:color w:val="auto"/>
        </w:rPr>
      </w:pPr>
      <w:r>
        <w:rPr>
          <w:rFonts w:ascii="Times New Roman" w:cs="Times New Roman" w:eastAsia="Times New Roman" w:hAnsi="Times New Roman"/>
          <w:sz w:val="20"/>
          <w:szCs w:val="20"/>
          <w:color w:val="454546"/>
        </w:rPr>
        <w:t>product with due diligence including with respect to “conditions specified by the Secretary [of HHS].” FDORA also adds the failure of a sponsor of a product approved under Accelerated Approval to conduct with due diligence any required post-approval study with respect to such product or to submit timely reports with respect to such product to the list of prohibited acts in the FD&amp;C Act.</w:t>
      </w:r>
    </w:p>
    <w:p>
      <w:pPr>
        <w:spacing w:after="0" w:line="76"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454546"/>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Pediatric Information and Pediatric Exclusivity</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The Pediatric Research Equity Act (“PREA”) requires a sponsor to conduct pediatric clinical trials for most drugs, for a new active ingredient, new indication, new dosage form, new dosing regimen or new route of administration. Under PREA, as amended, certain NDAs and NDA supplements must contain data that can be used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8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color w:val="454546"/>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U.S. Post-Approval Requirements for Drugs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generation of additional data or the conduct of additional preclinical studies and clinical trials.</w:t>
      </w:r>
    </w:p>
    <w:p>
      <w:pPr>
        <w:spacing w:after="0" w:line="9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454546"/>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81"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9"/>
          <w:szCs w:val="19"/>
          <w:color w:val="454546"/>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w:t>
      </w:r>
    </w:p>
    <w:p>
      <w:pPr>
        <w:sectPr>
          <w:pgSz w:w="11880" w:h="15480" w:orient="portrait"/>
          <w:cols w:equalWidth="0" w:num="1">
            <w:col w:w="10240"/>
          </w:cols>
          <w:pgMar w:left="820" w:top="504" w:right="820" w:bottom="0"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31</w:t>
      </w:r>
    </w:p>
    <w:p>
      <w:pPr>
        <w:sectPr>
          <w:pgSz w:w="11880" w:h="15480" w:orient="portrait"/>
          <w:cols w:equalWidth="0" w:num="1">
            <w:col w:w="10240"/>
          </w:cols>
          <w:pgMar w:left="820" w:top="504" w:right="820" w:bottom="0" w:gutter="0" w:footer="0" w:header="0"/>
          <w:type w:val="continuous"/>
        </w:sectPr>
      </w:pPr>
    </w:p>
    <w:bookmarkStart w:id="33" w:name="page34"/>
    <w:bookmarkEnd w:id="33"/>
    <w:p>
      <w:pPr>
        <w:ind w:left="20" w:right="460"/>
        <w:spacing w:after="0" w:line="287" w:lineRule="auto"/>
        <w:rPr>
          <w:sz w:val="20"/>
          <w:szCs w:val="20"/>
          <w:color w:val="auto"/>
        </w:rPr>
      </w:pPr>
      <w:r>
        <w:rPr>
          <w:rFonts w:ascii="Times New Roman" w:cs="Times New Roman" w:eastAsia="Times New Roman" w:hAnsi="Times New Roman"/>
          <w:sz w:val="20"/>
          <w:szCs w:val="20"/>
          <w:color w:val="454546"/>
        </w:rPr>
        <w:t>risks, or imposition of distribution or other restrictions under a REMS. Other potential consequences include, among other things:</w:t>
      </w:r>
    </w:p>
    <w:p>
      <w:pPr>
        <w:spacing w:after="0" w:line="50" w:lineRule="exact"/>
        <w:rPr>
          <w:sz w:val="20"/>
          <w:szCs w:val="20"/>
          <w:color w:val="auto"/>
        </w:rPr>
      </w:pPr>
    </w:p>
    <w:p>
      <w:pPr>
        <w:ind w:left="1100" w:right="580" w:hanging="549"/>
        <w:spacing w:after="0" w:line="287" w:lineRule="auto"/>
        <w:tabs>
          <w:tab w:leader="none" w:pos="110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restrictions on the marketing or manufacturing of the product, complete withdrawal of the product from the market or product recalls;</w:t>
      </w:r>
    </w:p>
    <w:p>
      <w:pPr>
        <w:spacing w:after="0" w:line="49" w:lineRule="exact"/>
        <w:rPr>
          <w:rFonts w:ascii="Times New Roman" w:cs="Times New Roman" w:eastAsia="Times New Roman" w:hAnsi="Times New Roman"/>
          <w:sz w:val="20"/>
          <w:szCs w:val="20"/>
          <w:color w:val="454546"/>
        </w:rPr>
      </w:pPr>
    </w:p>
    <w:p>
      <w:pPr>
        <w:ind w:left="1100" w:right="140" w:hanging="549"/>
        <w:spacing w:after="0" w:line="287" w:lineRule="auto"/>
        <w:tabs>
          <w:tab w:leader="none" w:pos="110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issuance of safety alerts, Dear Healthcare Provider letters, press releases or other communications containing warnings or other safety information about the product;</w:t>
      </w:r>
    </w:p>
    <w:p>
      <w:pPr>
        <w:spacing w:after="0" w:line="4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fines, warning letters or holds on post-approval clinical trials;</w:t>
      </w:r>
    </w:p>
    <w:p>
      <w:pPr>
        <w:spacing w:after="0" w:line="129" w:lineRule="exact"/>
        <w:rPr>
          <w:rFonts w:ascii="Times New Roman" w:cs="Times New Roman" w:eastAsia="Times New Roman" w:hAnsi="Times New Roman"/>
          <w:sz w:val="20"/>
          <w:szCs w:val="20"/>
          <w:color w:val="454546"/>
        </w:rPr>
      </w:pPr>
    </w:p>
    <w:p>
      <w:pPr>
        <w:ind w:left="1100" w:right="160" w:hanging="549"/>
        <w:spacing w:after="0" w:line="287" w:lineRule="auto"/>
        <w:tabs>
          <w:tab w:leader="none" w:pos="110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refusal of the FDA to approve applications or supplements to approved applications, or suspension or revocation of product approvals;</w:t>
      </w:r>
    </w:p>
    <w:p>
      <w:pPr>
        <w:spacing w:after="0" w:line="4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product seizure or detention, or refusal to permit the import or export of products;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injunctions or the imposition of civil or criminal penalties; and</w:t>
      </w:r>
    </w:p>
    <w:p>
      <w:pPr>
        <w:spacing w:after="0" w:line="129" w:lineRule="exact"/>
        <w:rPr>
          <w:rFonts w:ascii="Times New Roman" w:cs="Times New Roman" w:eastAsia="Times New Roman" w:hAnsi="Times New Roman"/>
          <w:sz w:val="20"/>
          <w:szCs w:val="20"/>
          <w:color w:val="454546"/>
        </w:rPr>
      </w:pPr>
    </w:p>
    <w:p>
      <w:pPr>
        <w:ind w:left="1080" w:right="400" w:hanging="530"/>
        <w:spacing w:after="0" w:line="287" w:lineRule="auto"/>
        <w:tabs>
          <w:tab w:leader="none" w:pos="1080" w:val="left"/>
        </w:tabs>
        <w:numPr>
          <w:ilvl w:val="0"/>
          <w:numId w:val="1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consent decrees, corporate integrity agreements, debarment or exclusion from federal healthcare programs; or mandated modification of promotional materials and labeling and issuance of corrective information.</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Companion diagnostics are designed to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(“PMA”).</w:t>
      </w:r>
    </w:p>
    <w:p>
      <w:pPr>
        <w:spacing w:after="0" w:line="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454546"/>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A PMA must be supported by valid scientific evidence, which typically requires extensive data, including technical, preclinical, clinical and manufacturing data, to demonstrate to the FDA’s satisfaction the safety and effectiveness of the device. The process for developing a PMA, including the gathering of clinical and preclinical data and submission to FDA can take several years or longer. For diagnostic tests, a PMA typically includes data regarding analytical and clinical validation studies. As part of its review of the PMA, the FDA will conduct a pre-approval inspection of the manufacturing facility or facilities to ensure compliance with the quality management system regulation, or QMSR,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and PMA approval is not guaranteed.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8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454546"/>
        </w:rPr>
        <w:t>On July 31, 2014, the FDA issued a final guidance document addressing the development and approval process for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w:t>
      </w:r>
    </w:p>
    <w:p>
      <w:pPr>
        <w:sectPr>
          <w:pgSz w:w="11880" w:h="15480" w:orient="portrait"/>
          <w:cols w:equalWidth="0" w:num="1">
            <w:col w:w="10260"/>
          </w:cols>
          <w:pgMar w:left="800" w:top="504" w:right="820" w:bottom="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32</w:t>
      </w:r>
    </w:p>
    <w:p>
      <w:pPr>
        <w:sectPr>
          <w:pgSz w:w="11880" w:h="15480" w:orient="portrait"/>
          <w:cols w:equalWidth="0" w:num="1">
            <w:col w:w="10260"/>
          </w:cols>
          <w:pgMar w:left="800" w:top="504" w:right="820" w:bottom="0" w:gutter="0" w:footer="0" w:header="0"/>
          <w:type w:val="continuous"/>
        </w:sectPr>
      </w:pPr>
    </w:p>
    <w:bookmarkStart w:id="34" w:name="page35"/>
    <w:bookmarkEnd w:id="34"/>
    <w:p>
      <w:pPr>
        <w:ind w:right="40"/>
        <w:spacing w:after="0" w:line="259" w:lineRule="auto"/>
        <w:rPr>
          <w:sz w:val="20"/>
          <w:szCs w:val="20"/>
          <w:color w:val="auto"/>
        </w:rPr>
      </w:pPr>
      <w:r>
        <w:rPr>
          <w:rFonts w:ascii="Times New Roman" w:cs="Times New Roman" w:eastAsia="Times New Roman" w:hAnsi="Times New Roman"/>
          <w:sz w:val="20"/>
          <w:szCs w:val="20"/>
          <w:color w:val="454546"/>
        </w:rPr>
        <w:t xml:space="preserve">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companion diagnostic device with a therapeutic product. The draft guidance describes principles to guide the development and contemporaneous marketing authorization for the therapeutic product and its corresponding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companion diagnostic.</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Once cleared or approved, the companion diagnostic device must adhere to post-marketing requirements including the requirements of the FDA’s QMSR, which cover the methods and documentation of the design, testing, production, processes, controls, quality assurance, labeling, packaging, and shipping of all medical devices, as well as adverse event reporting, recalls and corrections along with product marketing requirements and limitations. Medical devices, including companion diagnostics, may be marketed only for the uses and indications for which they are cleared or approved. Device manufacturers must also establish registration and device listings with the FDA. Like drug makers, companion diagnostic makers are subject to unannounced FDA inspections at any time during which the FDA will conduct an audit of the product(s) and the company’s facilities, facility records, and manufacturing processes for compliance with its authorities.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Marketing Exclusivity</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454546"/>
        </w:rPr>
        <w:t>Market exclusivity provisions authorized under the FD&amp;C Act can delay the submission or the approval of certain marketing applications. The FD&amp;C Act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The FD&amp;C Act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8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454546"/>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Other Regulatory Matters</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Other Healthcare Laws</w:t>
      </w:r>
    </w:p>
    <w:p>
      <w:pPr>
        <w:spacing w:after="0" w:line="13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454546"/>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federal and state fraud and abuse laws, transparency laws, and patient data privacy and security laws, including but not limited to those described below, some of which will not apply to us unless or until we have a marketed product.</w:t>
      </w:r>
    </w:p>
    <w:p>
      <w:pPr>
        <w:sectPr>
          <w:pgSz w:w="11880" w:h="15480" w:orient="portrait"/>
          <w:cols w:equalWidth="0" w:num="1">
            <w:col w:w="10220"/>
          </w:cols>
          <w:pgMar w:left="820" w:top="504" w:right="840" w:bottom="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33</w:t>
      </w:r>
    </w:p>
    <w:p>
      <w:pPr>
        <w:sectPr>
          <w:pgSz w:w="11880" w:h="15480" w:orient="portrait"/>
          <w:cols w:equalWidth="0" w:num="1">
            <w:col w:w="10220"/>
          </w:cols>
          <w:pgMar w:left="820" w:top="504" w:right="840" w:bottom="0" w:gutter="0" w:footer="0" w:header="0"/>
          <w:type w:val="continuous"/>
        </w:sectPr>
      </w:pPr>
    </w:p>
    <w:bookmarkStart w:id="35" w:name="page36"/>
    <w:bookmarkEnd w:id="35"/>
    <w:p>
      <w:pPr>
        <w:ind w:left="1100" w:right="100" w:hanging="549"/>
        <w:spacing w:after="0" w:line="262" w:lineRule="auto"/>
        <w:tabs>
          <w:tab w:leader="none" w:pos="110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federal Anti-Kickback Statute, which prohibits, among other things, persons from offering, soliciting, receiving or providing remuneration, directly or indirectly, to induce either the referral of an individual for, or the purchase or ordering of, a good or service for which payment may be made under federal healthcare programs such as Medicare and Medicaid;</w:t>
      </w:r>
    </w:p>
    <w:p>
      <w:pPr>
        <w:spacing w:after="0" w:line="75" w:lineRule="exact"/>
        <w:rPr>
          <w:rFonts w:ascii="Times New Roman" w:cs="Times New Roman" w:eastAsia="Times New Roman" w:hAnsi="Times New Roman"/>
          <w:sz w:val="20"/>
          <w:szCs w:val="20"/>
          <w:color w:val="454546"/>
        </w:rPr>
      </w:pPr>
    </w:p>
    <w:p>
      <w:pPr>
        <w:ind w:left="1100" w:hanging="549"/>
        <w:spacing w:after="0" w:line="269" w:lineRule="auto"/>
        <w:tabs>
          <w:tab w:leader="none" w:pos="110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false claims, false statement and civil monetary penalties laws prohibiting, among other things, any person from knowingly presenting, or causing to be presented, a false claim for payments of government funds or knowingly making, or causing to be made, a false statement material to a false claim;</w:t>
      </w:r>
    </w:p>
    <w:p>
      <w:pPr>
        <w:spacing w:after="0" w:line="66" w:lineRule="exact"/>
        <w:rPr>
          <w:rFonts w:ascii="Times New Roman" w:cs="Times New Roman" w:eastAsia="Times New Roman" w:hAnsi="Times New Roman"/>
          <w:sz w:val="20"/>
          <w:szCs w:val="20"/>
          <w:color w:val="454546"/>
        </w:rPr>
      </w:pPr>
    </w:p>
    <w:p>
      <w:pPr>
        <w:ind w:left="1100" w:right="460" w:hanging="549"/>
        <w:spacing w:after="0" w:line="269" w:lineRule="auto"/>
        <w:tabs>
          <w:tab w:leader="none" w:pos="110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Health Insurance Portability and Accountability Act of 1996 (“HIPAA”),which, in addition to privacy protections applicable to healthcare providers and other entities, prohibits executing a scheme to defraud any healthcare benefit program and making false statements relating to healthcare matters;</w:t>
      </w:r>
    </w:p>
    <w:p>
      <w:pPr>
        <w:spacing w:after="0" w:line="66" w:lineRule="exact"/>
        <w:rPr>
          <w:rFonts w:ascii="Times New Roman" w:cs="Times New Roman" w:eastAsia="Times New Roman" w:hAnsi="Times New Roman"/>
          <w:sz w:val="20"/>
          <w:szCs w:val="20"/>
          <w:color w:val="454546"/>
        </w:rPr>
      </w:pPr>
    </w:p>
    <w:p>
      <w:pPr>
        <w:ind w:left="1100" w:right="160" w:hanging="549"/>
        <w:spacing w:after="0" w:line="262" w:lineRule="auto"/>
        <w:tabs>
          <w:tab w:leader="none" w:pos="110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So-called federal “sunshine” law, or Open Payments, which requires pharmaceutical and medical device companies to report information related to certain payments and transfers of value provided to certain healthcare providers to CMS, as well as ownership and investment interests held by physicians and their immediate family members;</w:t>
      </w:r>
    </w:p>
    <w:p>
      <w:pPr>
        <w:spacing w:after="0" w:line="75" w:lineRule="exact"/>
        <w:rPr>
          <w:rFonts w:ascii="Times New Roman" w:cs="Times New Roman" w:eastAsia="Times New Roman" w:hAnsi="Times New Roman"/>
          <w:sz w:val="20"/>
          <w:szCs w:val="20"/>
          <w:color w:val="454546"/>
        </w:rPr>
      </w:pPr>
    </w:p>
    <w:p>
      <w:pPr>
        <w:ind w:left="1100" w:right="320" w:hanging="550"/>
        <w:spacing w:after="0" w:line="287" w:lineRule="auto"/>
        <w:tabs>
          <w:tab w:leader="none" w:pos="110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consumer protection and unfair competition laws broadly regulate marketplace activities and activities that potentially harm consumers.</w:t>
      </w:r>
    </w:p>
    <w:p>
      <w:pPr>
        <w:spacing w:after="0" w:line="49" w:lineRule="exact"/>
        <w:rPr>
          <w:rFonts w:ascii="Times New Roman" w:cs="Times New Roman" w:eastAsia="Times New Roman" w:hAnsi="Times New Roman"/>
          <w:sz w:val="20"/>
          <w:szCs w:val="20"/>
          <w:color w:val="454546"/>
        </w:rPr>
      </w:pPr>
    </w:p>
    <w:p>
      <w:pPr>
        <w:ind w:left="1100" w:hanging="550"/>
        <w:spacing w:after="0" w:line="269" w:lineRule="auto"/>
        <w:tabs>
          <w:tab w:leader="none" w:pos="110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Federal Food, Drug, and Cosmetic Act, which among other things, strictly regulates drug product and medical device marketing, prohibits manufacturers from marketing such products prior to approval or for unapproved indications and regulates the distribution of samples;</w:t>
      </w:r>
    </w:p>
    <w:p>
      <w:pPr>
        <w:spacing w:after="0" w:line="66" w:lineRule="exact"/>
        <w:rPr>
          <w:rFonts w:ascii="Times New Roman" w:cs="Times New Roman" w:eastAsia="Times New Roman" w:hAnsi="Times New Roman"/>
          <w:sz w:val="20"/>
          <w:szCs w:val="20"/>
          <w:color w:val="454546"/>
        </w:rPr>
      </w:pPr>
    </w:p>
    <w:p>
      <w:pPr>
        <w:ind w:left="1080" w:right="380" w:hanging="530"/>
        <w:spacing w:after="0" w:line="262" w:lineRule="auto"/>
        <w:tabs>
          <w:tab w:leader="none" w:pos="108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laws, including the Medicaid Drug Rebate Program, that require pharmaceutical manufacturers to calculate, certify and report certain complex calculated product prices to the government or provide certain discounts or rebates to government authorities or private entities, often as a condition of reimbursement under government healthcare programs; and</w:t>
      </w:r>
    </w:p>
    <w:p>
      <w:pPr>
        <w:spacing w:after="0" w:line="75" w:lineRule="exact"/>
        <w:rPr>
          <w:rFonts w:ascii="Times New Roman" w:cs="Times New Roman" w:eastAsia="Times New Roman" w:hAnsi="Times New Roman"/>
          <w:sz w:val="20"/>
          <w:szCs w:val="20"/>
          <w:color w:val="454546"/>
        </w:rPr>
      </w:pPr>
    </w:p>
    <w:p>
      <w:pPr>
        <w:ind w:left="1080" w:right="80" w:hanging="530"/>
        <w:spacing w:after="0" w:line="256" w:lineRule="auto"/>
        <w:tabs>
          <w:tab w:leader="none" w:pos="1080" w:val="left"/>
        </w:tabs>
        <w:numPr>
          <w:ilvl w:val="0"/>
          <w:numId w:val="1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Analogous state and foreign laws and regulations, such as state anti-kickback, anti-bribery and false claims laws, which may apply to healthcare items or services that are reimbursed by non-governmental third-party payors, including private insurers, as well as other state laws that require companies to comply with specific compliance standards, restrict financial interactions between companies and healthcare providers, require companies to report information related to payments to healthcare providers, marketing expenditures or pricing, require the licensing or registration of sales representatives or regulate the manufacture and distribution of drugs and biological products, imposing extensive record-keeping, licensing, storage and security requirements.</w:t>
      </w:r>
    </w:p>
    <w:p>
      <w:pPr>
        <w:spacing w:after="0" w:line="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454546"/>
        </w:rPr>
        <w:t>Given the breadth of the laws and regulations, narrowness of exceptions, limited guidance for certain laws and regulations, and evolving government interpretations of the laws and regulations, ensuring compliance is challenging. Federal and state enforcement agencies scrutinize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Ensuring business arrangements comply with applicable healthcare laws, as well as responding to possible investigations by government authorities, can be time- and resource-consuming and can divert a company’s attention from its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Coverage and Reimbursement by Third-Party Payors</w:t>
      </w:r>
    </w:p>
    <w:p>
      <w:pPr>
        <w:spacing w:after="0" w:line="13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454546"/>
        </w:rPr>
        <w:t>In the United States and markets in other countries, patients who are prescribed treatments for their conditions and providers performing the prescribed services generally rely on third-party payors to reimburse all or part of the associated healthcare costs. Sales of an approved drug product will depend, in part, on the extent to which third-party payors, including government health programs such as Medicare and Medicaid, and private health insurance such as managed care plans, provide coverage, and establish adequate reimbursement levels for the product.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A third-party payor’s decision to provide coverage for a product therefore does not imply that an adequate</w:t>
      </w:r>
    </w:p>
    <w:p>
      <w:pPr>
        <w:sectPr>
          <w:pgSz w:w="11880" w:h="15480" w:orient="portrait"/>
          <w:cols w:equalWidth="0" w:num="1">
            <w:col w:w="10260"/>
          </w:cols>
          <w:pgMar w:left="800" w:top="504" w:right="820"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34</w:t>
      </w:r>
    </w:p>
    <w:p>
      <w:pPr>
        <w:sectPr>
          <w:pgSz w:w="11880" w:h="15480" w:orient="portrait"/>
          <w:cols w:equalWidth="0" w:num="1">
            <w:col w:w="10260"/>
          </w:cols>
          <w:pgMar w:left="800" w:top="504" w:right="820" w:bottom="0" w:gutter="0" w:footer="0" w:header="0"/>
          <w:type w:val="continuous"/>
        </w:sectPr>
      </w:pPr>
    </w:p>
    <w:bookmarkStart w:id="36" w:name="page37"/>
    <w:bookmarkEnd w:id="36"/>
    <w:p>
      <w:pPr>
        <w:ind w:left="20" w:right="60"/>
        <w:spacing w:after="0" w:line="256" w:lineRule="auto"/>
        <w:rPr>
          <w:sz w:val="20"/>
          <w:szCs w:val="20"/>
          <w:color w:val="auto"/>
        </w:rPr>
      </w:pPr>
      <w:r>
        <w:rPr>
          <w:rFonts w:ascii="Times New Roman" w:cs="Times New Roman" w:eastAsia="Times New Roman" w:hAnsi="Times New Roman"/>
          <w:sz w:val="20"/>
          <w:szCs w:val="20"/>
          <w:color w:val="454546"/>
        </w:rPr>
        <w:t>reimbursement rate will be approved. Third-party payors are increasingly challenging the prices charged, examining the medical necessity, reviewing the cost-effectiveness of medical products and services and imposing controls to manage costs. Third-party payors may seek to control costs and manage utilization by, for example, excluding products from lists of approved covered products (known as “formularies”), imposing step edits that require patients to try alternative treatments before authorizing payment for products, limiting the types of diagnoses for which coverage will be provided, requiring pre-approval (known as “prior authorization”) for coverage of a prescription for each patient (to allow the payor to assess medical necessity) or imposing a moratorium on coverage for products while the payor makes a coverage decision.</w:t>
      </w:r>
    </w:p>
    <w:p>
      <w:pPr>
        <w:spacing w:after="0" w:line="83" w:lineRule="exact"/>
        <w:rPr>
          <w:sz w:val="20"/>
          <w:szCs w:val="20"/>
          <w:color w:val="auto"/>
        </w:rPr>
      </w:pPr>
    </w:p>
    <w:p>
      <w:pPr>
        <w:ind w:left="20" w:right="300"/>
        <w:spacing w:after="0" w:line="256" w:lineRule="auto"/>
        <w:rPr>
          <w:sz w:val="20"/>
          <w:szCs w:val="20"/>
          <w:color w:val="auto"/>
        </w:rPr>
      </w:pPr>
      <w:r>
        <w:rPr>
          <w:rFonts w:ascii="Times New Roman" w:cs="Times New Roman" w:eastAsia="Times New Roman" w:hAnsi="Times New Roman"/>
          <w:sz w:val="20"/>
          <w:szCs w:val="20"/>
          <w:color w:val="454546"/>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Nonetheless, product candidates may not be considered medically necessary or cost effective. Additionally, companies may also need to provide discounts to purchasers, private health plans or government healthcare programs. A decision by a third-party payor not to cover a product could reduce utilization once the product is approved and have a material adverse effect on sales, our operations and financial condition.</w:t>
      </w:r>
    </w:p>
    <w:p>
      <w:pPr>
        <w:spacing w:after="0" w:line="83" w:lineRule="exact"/>
        <w:rPr>
          <w:sz w:val="20"/>
          <w:szCs w:val="20"/>
          <w:color w:val="auto"/>
        </w:rPr>
      </w:pPr>
    </w:p>
    <w:p>
      <w:pPr>
        <w:ind w:left="20" w:right="40"/>
        <w:spacing w:after="0" w:line="255" w:lineRule="auto"/>
        <w:rPr>
          <w:sz w:val="20"/>
          <w:szCs w:val="20"/>
          <w:color w:val="auto"/>
        </w:rPr>
      </w:pPr>
      <w:r>
        <w:rPr>
          <w:rFonts w:ascii="Times New Roman" w:cs="Times New Roman" w:eastAsia="Times New Roman" w:hAnsi="Times New Roman"/>
          <w:sz w:val="20"/>
          <w:szCs w:val="20"/>
          <w:color w:val="454546"/>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454546"/>
        </w:rPr>
        <w:t>Current and Future Healthcare Reform Legislation</w:t>
      </w:r>
    </w:p>
    <w:p>
      <w:pPr>
        <w:spacing w:after="0" w:line="130"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20"/>
          <w:szCs w:val="20"/>
          <w:color w:val="454546"/>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Patient Protection and Affordable Care Act, as amended, the Health Care and Education Reconciliation Act (the “Affordable Care Act”), which, among other things, expanded health care coverage through Medicaid expansion and the implementation of the individual mandate for health insurance coverage and which included a number of changes to the coverage and reimbursement of drug products under government healthcare programs.</w:t>
      </w:r>
    </w:p>
    <w:p>
      <w:pPr>
        <w:spacing w:after="0" w:line="83"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20"/>
          <w:szCs w:val="20"/>
          <w:color w:val="454546"/>
        </w:rPr>
        <w:t>Beyond the Affordable Care Act, there have been ongoing healthcare reform efforts, including efforts focused on drug pricing and payment.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negotiated prices for the first set of drugs taking effect in 2026). The IRA has had and will likely continue to have a significant impact on the pharmaceutical industry. Additionally, changes to Medicaid effective in 2024 eliminated the Medicaid rebate cap. And changes to certain Medicare price reporting requirements for drugs beginning in 2026 will likely increase the administrative and compliance burden for manufacturers.</w:t>
      </w:r>
    </w:p>
    <w:p>
      <w:pPr>
        <w:spacing w:after="0" w:line="81" w:lineRule="exact"/>
        <w:rPr>
          <w:sz w:val="20"/>
          <w:szCs w:val="20"/>
          <w:color w:val="auto"/>
        </w:rPr>
      </w:pPr>
    </w:p>
    <w:p>
      <w:pPr>
        <w:ind w:firstLine="1"/>
        <w:spacing w:after="0" w:line="252" w:lineRule="auto"/>
        <w:rPr>
          <w:sz w:val="20"/>
          <w:szCs w:val="20"/>
          <w:color w:val="auto"/>
        </w:rPr>
      </w:pPr>
      <w:r>
        <w:rPr>
          <w:rFonts w:ascii="Times New Roman" w:cs="Times New Roman" w:eastAsia="Times New Roman" w:hAnsi="Times New Roman"/>
          <w:sz w:val="20"/>
          <w:szCs w:val="20"/>
          <w:color w:val="454546"/>
        </w:rPr>
        <w:t>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that is anticipated to offer pharmaceutical direct-to-consumer channels in the future has also been launched.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proposed</w:t>
      </w:r>
    </w:p>
    <w:p>
      <w:pPr>
        <w:sectPr>
          <w:pgSz w:w="11880" w:h="15480" w:orient="portrait"/>
          <w:cols w:equalWidth="0" w:num="1">
            <w:col w:w="10260"/>
          </w:cols>
          <w:pgMar w:left="800" w:top="504" w:right="82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35</w:t>
      </w:r>
    </w:p>
    <w:p>
      <w:pPr>
        <w:sectPr>
          <w:pgSz w:w="11880" w:h="15480" w:orient="portrait"/>
          <w:cols w:equalWidth="0" w:num="1">
            <w:col w:w="10260"/>
          </w:cols>
          <w:pgMar w:left="800" w:top="504" w:right="820" w:bottom="0" w:gutter="0" w:footer="0" w:header="0"/>
          <w:type w:val="continuous"/>
        </w:sectPr>
      </w:pPr>
    </w:p>
    <w:bookmarkStart w:id="37" w:name="page38"/>
    <w:bookmarkEnd w:id="37"/>
    <w:p>
      <w:pPr>
        <w:jc w:val="both"/>
        <w:ind w:right="80"/>
        <w:spacing w:after="0" w:line="289" w:lineRule="auto"/>
        <w:rPr>
          <w:sz w:val="20"/>
          <w:szCs w:val="20"/>
          <w:color w:val="auto"/>
        </w:rPr>
      </w:pPr>
      <w:r>
        <w:rPr>
          <w:rFonts w:ascii="Times New Roman" w:cs="Times New Roman" w:eastAsia="Times New Roman" w:hAnsi="Times New Roman"/>
          <w:sz w:val="19"/>
          <w:szCs w:val="19"/>
          <w:color w:val="454546"/>
        </w:rPr>
        <w:t>Medicare Part B and Part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454546"/>
        </w:rPr>
        <w:t>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454546"/>
        </w:rPr>
        <w:t>Healthcare reform efforts have been and may continue to be subject to scrutiny, legal challenge and subsequent amendment, creating further uncertainty. Other recent government actions may also affect prices or payments for prescription drugs. For example, the Trump Administration’s recently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as amended, resulted in the imposition of reductions in Medicare (but not Medicaid) payments to providers in 2013 and will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8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454546"/>
        </w:rPr>
        <w:t>Healthcare reform initiatives at the federal or state level could affect demand for, or pricing of, our current or future products if approved for sale. We cannot, however, predict the ultimate content, timing or effect of any federal and state reform efforts. There is no assurance that federal or state health care reform will not adversely affect our future business and financial results.</w:t>
      </w:r>
    </w:p>
    <w:p>
      <w:pPr>
        <w:spacing w:after="0" w:line="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454546"/>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 There can be no assurance that any country that has price controls or reimbursement limitations for pharmaceutical products will allow favorable reimbursement and pricing arrangements for any products, if approved in those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Other U.S. Environmental, Health and Safety Laws and Regulations</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5"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454546"/>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6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9"/>
          <w:szCs w:val="19"/>
          <w:color w:val="454546"/>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Government Regulation of Drugs Outside of the United States</w:t>
      </w:r>
    </w:p>
    <w:p>
      <w:pPr>
        <w:spacing w:after="0" w:line="13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9"/>
          <w:szCs w:val="19"/>
          <w:color w:val="454546"/>
        </w:rPr>
        <w:t>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drug products. Whether or not we obtain FDA approval for a product, we would need to obtain the necessary approvals by the comparable foreign regulatory authorities before we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w:t>
      </w:r>
    </w:p>
    <w:p>
      <w:pPr>
        <w:sectPr>
          <w:pgSz w:w="11880" w:h="15480" w:orient="portrait"/>
          <w:cols w:equalWidth="0" w:num="1">
            <w:col w:w="10240"/>
          </w:cols>
          <w:pgMar w:left="820" w:top="504" w:right="820" w:bottom="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36</w:t>
      </w:r>
    </w:p>
    <w:p>
      <w:pPr>
        <w:sectPr>
          <w:pgSz w:w="11880" w:h="15480" w:orient="portrait"/>
          <w:cols w:equalWidth="0" w:num="1">
            <w:col w:w="10240"/>
          </w:cols>
          <w:pgMar w:left="820" w:top="504" w:right="820" w:bottom="0" w:gutter="0" w:footer="0" w:header="0"/>
          <w:type w:val="continuous"/>
        </w:sectPr>
      </w:pPr>
    </w:p>
    <w:bookmarkStart w:id="38" w:name="page39"/>
    <w:bookmarkEnd w:id="38"/>
    <w:p>
      <w:pPr>
        <w:ind w:right="40"/>
        <w:spacing w:after="0" w:line="262" w:lineRule="auto"/>
        <w:rPr>
          <w:sz w:val="20"/>
          <w:szCs w:val="20"/>
          <w:color w:val="auto"/>
        </w:rPr>
      </w:pPr>
      <w:r>
        <w:rPr>
          <w:rFonts w:ascii="Times New Roman" w:cs="Times New Roman" w:eastAsia="Times New Roman" w:hAnsi="Times New Roman"/>
          <w:sz w:val="20"/>
          <w:szCs w:val="20"/>
          <w:color w:val="454546"/>
        </w:rPr>
        <w:t>that required to obtain FDA approval. Regulatory approval in one country or jurisdiction does not ensure regulatory approval in another, but a failure or delay in obtaining regulatory approval in one country or jurisdiction may negatively impact the regulatory process in others. As in the United States, post-approval regulatory requirements, such as those regarding product manufacture, marketing, or distribution would apply to any product that is approved outside the United States.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Data Privacy Regulations</w:t>
      </w:r>
    </w:p>
    <w:p>
      <w:pPr>
        <w:spacing w:after="0" w:line="2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454546"/>
        </w:rPr>
        <w:t>The conduct of our clinical trials may be subject to privacy restrictions based on U.S. and non-U.S. regulations. For example, the collection, use, storage, disclosure, transfer, or other processing of personal data regarding individuals in the EU and the UK, including personal health data, is subject to the EU General Data Protection Regulation (“GDPR”) including as it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Compliance with the GDPR and the UK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The UK’s data protection authority, the Information Commissioner’s Office, has indicated that following Brexit it will continue to enforce the UK GDPR in line with the enforcement of the GDPR in the EU. However, the UK government recently announced its intention to adopt a more flexible approach to the regulation of data, and as a result, there remains a risk of future divergence between the EU and UK data protection regimes. In addition, we may be subject to the California Consumer Privacy Act (“CCPA”) and other U.S. privacy laws. Although the CCPA does not apply directly to our clinical trials, it does impact our collection of information regarding investigators, business contacts, website users and other data subjects. As currently written, the CCPA may impact our business activities and exemplifies the vulnerability of our business to the evolving regulatory environment related to personal data and protected health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Human Capital Resources</w:t>
      </w:r>
    </w:p>
    <w:p>
      <w:pPr>
        <w:spacing w:after="0" w:line="134"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454546"/>
        </w:rPr>
        <w:t>As of December 31, 2025, we had 106 full-time employees. We consider our employees to be our greatest asset and have assembled a team with deep scientific, clinical, manufacturing, business, and leadership expertise in biotechnology, platform research, drug discovery, and development. 55 of our employees have M.D. or Ph.D. degrees. Within our workforce, 78 employees are engaged in research and development and 28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Our Corporate Information</w:t>
      </w:r>
    </w:p>
    <w:p>
      <w:pPr>
        <w:spacing w:after="0" w:line="13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454546"/>
        </w:rPr>
        <w:t>We were formed as a Delaware corporation in October 2015 under the name Foghorn Therapeutics Inc. Our principal executive office is located at 99 Coolidge Avenue, Suite 500, Watertown, Massachusetts, 02472, and our phone number is 617-586-3100. Our website address is https://foghorntx.com. Our website and the information contained on, or that can be accessed through, the website will not be deemed to be incorporated by reference in, and are not considered part of, this Annual Report on Form 10-K.</w:t>
      </w:r>
    </w:p>
    <w:p>
      <w:pPr>
        <w:spacing w:after="0" w:line="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454546"/>
        </w:rPr>
        <w:t>We are a “smaller reporting company” as defined in the Securities and Exchange Act of 1934, as amended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Available Information</w:t>
      </w:r>
    </w:p>
    <w:p>
      <w:pPr>
        <w:spacing w:after="0" w:line="134" w:lineRule="exact"/>
        <w:rPr>
          <w:sz w:val="20"/>
          <w:szCs w:val="20"/>
          <w:color w:val="auto"/>
        </w:rPr>
      </w:pPr>
    </w:p>
    <w:p>
      <w:pPr>
        <w:ind w:firstLine="1"/>
        <w:spacing w:after="0" w:line="270" w:lineRule="auto"/>
        <w:rPr>
          <w:sz w:val="20"/>
          <w:szCs w:val="20"/>
          <w:color w:val="auto"/>
        </w:rPr>
      </w:pPr>
      <w:r>
        <w:rPr>
          <w:rFonts w:ascii="Times New Roman" w:cs="Times New Roman" w:eastAsia="Times New Roman" w:hAnsi="Times New Roman"/>
          <w:sz w:val="19"/>
          <w:szCs w:val="19"/>
          <w:color w:val="454546"/>
        </w:rPr>
        <w:t xml:space="preserve">Our Internet address is https://foghorntx.com.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Electronic Data Gathering, Analysis and Retrieval system at </w:t>
      </w:r>
      <w:r>
        <w:rPr>
          <w:rFonts w:ascii="Times New Roman" w:cs="Times New Roman" w:eastAsia="Times New Roman" w:hAnsi="Times New Roman"/>
          <w:sz w:val="19"/>
          <w:szCs w:val="19"/>
          <w:i w:val="1"/>
          <w:iCs w:val="1"/>
          <w:color w:val="454546"/>
        </w:rPr>
        <w:t>http://www.sec.gov</w:t>
      </w:r>
      <w:r>
        <w:rPr>
          <w:rFonts w:ascii="Times New Roman" w:cs="Times New Roman" w:eastAsia="Times New Roman" w:hAnsi="Times New Roman"/>
          <w:sz w:val="19"/>
          <w:szCs w:val="19"/>
          <w:color w:val="454546"/>
        </w:rPr>
        <w:t>.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37</w:t>
      </w:r>
    </w:p>
    <w:p>
      <w:pPr>
        <w:sectPr>
          <w:pgSz w:w="11880" w:h="15480" w:orient="portrait"/>
          <w:cols w:equalWidth="0" w:num="1">
            <w:col w:w="10240"/>
          </w:cols>
          <w:pgMar w:left="820" w:top="504" w:right="820" w:bottom="0" w:gutter="0" w:footer="0" w:header="0"/>
          <w:type w:val="continuous"/>
        </w:sectPr>
      </w:pPr>
    </w:p>
    <w:bookmarkStart w:id="39" w:name="page40"/>
    <w:bookmarkEnd w:id="39"/>
    <w:p>
      <w:pPr>
        <w:ind w:right="160"/>
        <w:spacing w:after="0" w:line="259" w:lineRule="auto"/>
        <w:rPr>
          <w:sz w:val="20"/>
          <w:szCs w:val="20"/>
          <w:color w:val="auto"/>
        </w:rPr>
      </w:pPr>
      <w:r>
        <w:rPr>
          <w:rFonts w:ascii="Times New Roman" w:cs="Times New Roman" w:eastAsia="Times New Roman" w:hAnsi="Times New Roman"/>
          <w:sz w:val="20"/>
          <w:szCs w:val="20"/>
          <w:color w:val="454546"/>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to the “Investors” portion of our website. In addition, we intend to post on our website all disclosures that are required by law or listing rules concerning any amendments to, or waivers from, any provision of the code.</w:t>
      </w:r>
    </w:p>
    <w:p>
      <w:pPr>
        <w:spacing w:after="0" w:line="3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1A.</w:t>
      </w:r>
      <w:r>
        <w:rPr>
          <w:sz w:val="20"/>
          <w:szCs w:val="20"/>
          <w:color w:val="auto"/>
        </w:rPr>
        <w:tab/>
      </w:r>
      <w:r>
        <w:rPr>
          <w:rFonts w:ascii="Times New Roman" w:cs="Times New Roman" w:eastAsia="Times New Roman" w:hAnsi="Times New Roman"/>
          <w:sz w:val="19"/>
          <w:szCs w:val="19"/>
          <w:b w:val="1"/>
          <w:bCs w:val="1"/>
          <w:color w:val="454546"/>
        </w:rPr>
        <w:t>RISK FACTORS</w:t>
      </w:r>
    </w:p>
    <w:p>
      <w:pPr>
        <w:spacing w:after="0" w:line="1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i w:val="1"/>
          <w:iCs w:val="1"/>
          <w:color w:val="454546"/>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related notes,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Financial Position and Need for Additional Capital</w:t>
      </w:r>
    </w:p>
    <w:p>
      <w:pPr>
        <w:spacing w:after="0" w:line="25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have a limited operating history and have no products approved for commercial sale, which may make it difficult for you to evaluate our current business and predict our future success and viability.</w:t>
      </w:r>
    </w:p>
    <w:p>
      <w:pPr>
        <w:spacing w:after="0" w:line="5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454546"/>
        </w:rPr>
        <w:t>We are a clinical-stage biopharmaceutical company with a limited operating history. We were incorporated in October 2015, and our operations to date have been focused on building our proprietary Gene Traffic Control platform, organizing and staffing our company, business planning, raising capital, conducting discovery and research activities, conducting early stage clinical trials, protecting our trade secrets, filing patent applications, identifying potential product candidates, undertaking preclinical studies and establishing arrangements with third parties for the manufacture of initial quantities of our product candidates and component materials. As part of our collaboration with Lilly, we are currently in a Phase 1 dose escalation trial for FHD-909. Our other product candidates are in preclinical development. We have not yet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w:t>
      </w:r>
    </w:p>
    <w:p>
      <w:pPr>
        <w:spacing w:after="0" w:line="6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454546"/>
        </w:rPr>
        <w:t>In addition,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454546"/>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have incurred significant losses since inception. We expect to incur losses for the foreseeable future and may never achieve or maintain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Since inception, we have incurred significant operating losses. As of December 31, 2025, we had an accumulated deficit of</w:t>
      </w:r>
    </w:p>
    <w:p>
      <w:pPr>
        <w:spacing w:after="0" w:line="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454546"/>
        </w:rPr>
        <w:t>$632.5 million. We have financed our operations primarily through our strategic collaboration with Lilly and Lilly’s concurrent investment in our equity; proceeds from the January 2026 Offering and May 2024 Offering; our IPO and private placements of our preferred stock; and our former collaboration agreement with Merck Sharp &amp; Dohme Corp. For further information about our collaborations and Lilly’s equity investment, see “Business—Strategic Collaboration with Lilly.”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84" w:lineRule="exact"/>
        <w:rPr>
          <w:sz w:val="20"/>
          <w:szCs w:val="20"/>
          <w:color w:val="auto"/>
        </w:rPr>
      </w:pPr>
    </w:p>
    <w:p>
      <w:pPr>
        <w:ind w:left="1080" w:right="480" w:hanging="549"/>
        <w:spacing w:after="0" w:line="287" w:lineRule="auto"/>
        <w:tabs>
          <w:tab w:leader="none" w:pos="1080" w:val="left"/>
        </w:tabs>
        <w:numPr>
          <w:ilvl w:val="0"/>
          <w:numId w:val="1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continue our preclinical and clinical development of product candidates from our current research programs, including those partnered with Lilly;</w:t>
      </w:r>
    </w:p>
    <w:p>
      <w:pPr>
        <w:spacing w:after="0" w:line="4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1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identify additional research programs and additional product candidates;</w:t>
      </w:r>
    </w:p>
    <w:p>
      <w:pPr>
        <w:spacing w:after="0" w:line="129"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1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initiate preclinical testing for any new product candidates we identify and develop;</w:t>
      </w:r>
    </w:p>
    <w:p>
      <w:pPr>
        <w:spacing w:after="0" w:line="129" w:lineRule="exact"/>
        <w:rPr>
          <w:rFonts w:ascii="Times New Roman" w:cs="Times New Roman" w:eastAsia="Times New Roman" w:hAnsi="Times New Roman"/>
          <w:sz w:val="20"/>
          <w:szCs w:val="20"/>
          <w:color w:val="454546"/>
        </w:rPr>
      </w:pPr>
    </w:p>
    <w:p>
      <w:pPr>
        <w:ind w:left="1080" w:right="440" w:hanging="550"/>
        <w:spacing w:after="0" w:line="287" w:lineRule="auto"/>
        <w:tabs>
          <w:tab w:leader="none" w:pos="1080" w:val="left"/>
        </w:tabs>
        <w:numPr>
          <w:ilvl w:val="0"/>
          <w:numId w:val="1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obtain, maintain, expand, enforce, defend and protect our trade secrets and intellectual property portfolio and provide reimbursement of third-party expenses related to our patent portfolio;</w:t>
      </w:r>
    </w:p>
    <w:p>
      <w:pPr>
        <w:spacing w:after="0" w:line="49"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1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hire additional research and development personnel;</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38</w:t>
      </w:r>
    </w:p>
    <w:p>
      <w:pPr>
        <w:sectPr>
          <w:pgSz w:w="11880" w:h="15480" w:orient="portrait"/>
          <w:cols w:equalWidth="0" w:num="1">
            <w:col w:w="10240"/>
          </w:cols>
          <w:pgMar w:left="820" w:top="504" w:right="820" w:bottom="0" w:gutter="0" w:footer="0" w:header="0"/>
          <w:type w:val="continuous"/>
        </w:sectPr>
      </w:pPr>
    </w:p>
    <w:bookmarkStart w:id="40" w:name="page41"/>
    <w:bookmarkEnd w:id="40"/>
    <w:p>
      <w:pPr>
        <w:ind w:left="1100" w:right="160" w:hanging="549"/>
        <w:spacing w:after="0" w:line="287" w:lineRule="auto"/>
        <w:tabs>
          <w:tab w:leader="none" w:pos="1100"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add operational, legal, compliance, financial and management information systems and personnel to support our research, product development and operations as a public company;</w:t>
      </w:r>
    </w:p>
    <w:p>
      <w:pPr>
        <w:spacing w:after="0" w:line="4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expand the capabilities of our platform;</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acquire or in-license product candidates, intellectual property and technologies;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operate as a public company;</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seek marketing approvals for any of our product candidates that successfully complete clinical trials; and</w:t>
      </w:r>
    </w:p>
    <w:p>
      <w:pPr>
        <w:spacing w:after="0" w:line="129" w:lineRule="exact"/>
        <w:rPr>
          <w:rFonts w:ascii="Times New Roman" w:cs="Times New Roman" w:eastAsia="Times New Roman" w:hAnsi="Times New Roman"/>
          <w:sz w:val="20"/>
          <w:szCs w:val="20"/>
          <w:color w:val="454546"/>
        </w:rPr>
      </w:pPr>
    </w:p>
    <w:p>
      <w:pPr>
        <w:ind w:left="1080" w:hanging="530"/>
        <w:spacing w:after="0" w:line="287" w:lineRule="auto"/>
        <w:tabs>
          <w:tab w:leader="none" w:pos="1080" w:val="left"/>
        </w:tabs>
        <w:numPr>
          <w:ilvl w:val="0"/>
          <w:numId w:val="2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ultimately establish a sales, marketing, and distribution infrastructure to commercialize any products for which we may obtain marketing approval.</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Currently, we have one Lilly-partnered product candidate, FHD-909, in Phase 1 clinical development. We have not initiated clinical development of our other current product candidates and expect that it will be many years, if ever, before we have a product candidate ready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unable to predict the extent of any future losses or when we will become profitable, if at all. If we do achieve profitability, we may not be able to sustain or increase profitability on a quarterly or annual basis.</w:t>
      </w:r>
    </w:p>
    <w:p>
      <w:pPr>
        <w:spacing w:after="0" w:line="206"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will need substantial additional funding. If we are unable to raise capital when needed, we would be forced to delay, reduce, or eliminate our research and product development programs or future commercialization efforts.</w:t>
      </w:r>
    </w:p>
    <w:p>
      <w:pPr>
        <w:spacing w:after="0" w:line="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454546"/>
        </w:rPr>
        <w:t>We expect our expenses to increase in connection with our ongoing activities, particularly as we identify, continue the research and development of, initiate clinical trials of, and seek marketing approval for, our product candidates, including FHD-909, which is in Phase 1 clinical development.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7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454546"/>
        </w:rPr>
        <w:t>Additional capital raising efforts, when needed, may divert our management’s attention from their day-to-day activities, which may adversely affect our ability to advance our product candidates or develop new product candidates. 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w:t>
      </w:r>
    </w:p>
    <w:p>
      <w:pPr>
        <w:spacing w:after="0" w:line="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454546"/>
        </w:rPr>
        <w:t>If we are unable to obtain funding on a reasonable and timely basis, we may be required to significantly curtail, delay or discontinue one or more of our research or development programs, clinical research, or the commercialization of any product candidate. We may be unable to expand our operations or otherwise capitalize on our business opportunities as desired. Any of the above events could significantly harm our business, prospects, financial condition and results of operations and cause the price of our common stock to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have never generated revenue from product sales and may never be profitable.</w:t>
      </w:r>
    </w:p>
    <w:p>
      <w:pPr>
        <w:spacing w:after="0" w:line="244"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20"/>
          <w:szCs w:val="20"/>
          <w:color w:val="454546"/>
        </w:rPr>
        <w:t>We are currently in the Phase 1 clinical development for FHD-909 as part of our collaboration with Lilly. We are in the preclinical development stage for our other lead research programs. We expect that it will be many years, if ever, before we have a product candidate ready for commercialization.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current or future product candidates, establishing and maintaining arrangements with third parties for the manufacture of clinical supplies of our product candidates, obtaining marketing approval for our product candidates and manufacturing, marketing, selling and obtaining reimbursement for any products for which we may obtain marketing approval. We may never succeed in these activities and, even if we do, may never generate revenues that are significant enough to achieve profitability.</w:t>
      </w:r>
    </w:p>
    <w:p>
      <w:pPr>
        <w:spacing w:after="0" w:line="201" w:lineRule="exact"/>
        <w:rPr>
          <w:sz w:val="20"/>
          <w:szCs w:val="20"/>
          <w:color w:val="auto"/>
        </w:rPr>
      </w:pPr>
    </w:p>
    <w:p>
      <w:pPr>
        <w:ind w:left="20"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Unfavorable global macroeconomic conditions, geopolitical trends, and armed conflict could adversely affect our business, financial condition or results of operations.</w:t>
      </w:r>
    </w:p>
    <w:p>
      <w:pPr>
        <w:spacing w:after="0" w:line="50" w:lineRule="exact"/>
        <w:rPr>
          <w:sz w:val="20"/>
          <w:szCs w:val="20"/>
          <w:color w:val="auto"/>
        </w:rPr>
      </w:pPr>
    </w:p>
    <w:p>
      <w:pPr>
        <w:ind w:left="20" w:right="200"/>
        <w:spacing w:after="0" w:line="315" w:lineRule="auto"/>
        <w:rPr>
          <w:sz w:val="20"/>
          <w:szCs w:val="20"/>
          <w:color w:val="auto"/>
        </w:rPr>
      </w:pPr>
      <w:r>
        <w:rPr>
          <w:rFonts w:ascii="Times New Roman" w:cs="Times New Roman" w:eastAsia="Times New Roman" w:hAnsi="Times New Roman"/>
          <w:sz w:val="19"/>
          <w:szCs w:val="19"/>
          <w:color w:val="454546"/>
        </w:rPr>
        <w:t>Our results of operations could be adversely affected by general conditions in the global economy and financial markets, including inflation, rising interest rates, economic sanctions or other restrictions on international commerce, natural disasters,</w:t>
      </w:r>
    </w:p>
    <w:p>
      <w:pPr>
        <w:sectPr>
          <w:pgSz w:w="11880" w:h="15480" w:orient="portrait"/>
          <w:cols w:equalWidth="0" w:num="1">
            <w:col w:w="10240"/>
          </w:cols>
          <w:pgMar w:left="800" w:top="504" w:right="840" w:bottom="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39</w:t>
      </w:r>
    </w:p>
    <w:p>
      <w:pPr>
        <w:sectPr>
          <w:pgSz w:w="11880" w:h="15480" w:orient="portrait"/>
          <w:cols w:equalWidth="0" w:num="1">
            <w:col w:w="10240"/>
          </w:cols>
          <w:pgMar w:left="800" w:top="504" w:right="840" w:bottom="0" w:gutter="0" w:footer="0" w:header="0"/>
          <w:type w:val="continuous"/>
        </w:sectPr>
      </w:pPr>
    </w:p>
    <w:bookmarkStart w:id="41" w:name="page42"/>
    <w:bookmarkEnd w:id="41"/>
    <w:p>
      <w:pPr>
        <w:ind w:right="20"/>
        <w:spacing w:after="0" w:line="257" w:lineRule="auto"/>
        <w:rPr>
          <w:sz w:val="20"/>
          <w:szCs w:val="20"/>
          <w:color w:val="auto"/>
        </w:rPr>
      </w:pPr>
      <w:r>
        <w:rPr>
          <w:rFonts w:ascii="Times New Roman" w:cs="Times New Roman" w:eastAsia="Times New Roman" w:hAnsi="Times New Roman"/>
          <w:sz w:val="20"/>
          <w:szCs w:val="20"/>
          <w:color w:val="454546"/>
        </w:rPr>
        <w:t>pandemics, political instability, ongoing and potential global armed conflicts and wars. A severe or prolonged economic downturn, or additional global financial or political crises,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U.S. federal income tax reform could adversely affect our business and financial condition.</w:t>
      </w:r>
    </w:p>
    <w:p>
      <w:pPr>
        <w:spacing w:after="0" w:line="13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454546"/>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Our future ability to utilize our net operating loss carryforwards and certain other tax attributes may be limited.</w:t>
      </w:r>
    </w:p>
    <w:p>
      <w:pPr>
        <w:spacing w:after="0" w:line="1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454546"/>
        </w:rPr>
        <w:t>We have incurred substantial losses during our history and we may never achieve profitability. To the extent that we continue to generate taxable losses, unused losses will carry forward to offset a portion of future taxable income, if any, subject to expiration in the case of carryforwards generated prior to January 1, 2018.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Code, if a corporation undergoes an “ownership change,” generally defined as a greater than 50 percentage point change (by value) in its equity ownership over a three-year period, the corporation’s ability to use its pre-change net operating loss carryforwards, or NOLs, and other pre-change tax attributes (such as research and development tax credits) to offset its post-change income or taxes may be limited. Our prior equity offerings and other changes in our stock ownership may have resulted in such ownership changes. We may also experience ownership changes in the future or subsequent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Additionally, for taxable years beginning after December 31, 2021, the deductibility of such U.S. federal NOLs is limited to 80% of our taxable income in any future taxable year. There is a risk that under existing tax laws, changes thereto,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Discovery and Development</w:t>
      </w:r>
    </w:p>
    <w:p>
      <w:pPr>
        <w:spacing w:after="0" w:line="25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454546"/>
        </w:rPr>
        <w:t>We are heavily dependent on the success of our product candidates, which are in preclinical and early clinical development. We may not be successful in our efforts to identify and develop potential product candidates. If these efforts are unsuccessful, or if we experience significant delays, we may never become a commercial stage company or generate any revenues, and our business will be materially harmed.</w:t>
      </w:r>
    </w:p>
    <w:p>
      <w:pPr>
        <w:spacing w:after="0" w:line="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454546"/>
        </w:rPr>
        <w:t xml:space="preserve">The success of our business depends primarily upon our ability to identify, develop, and commercialize product candidates based on our platform. All of our product development programs are still in the research or preclinical or early 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Times New Roman" w:cs="Times New Roman" w:eastAsia="Times New Roman" w:hAnsi="Times New Roman"/>
          <w:sz w:val="20"/>
          <w:szCs w:val="20"/>
          <w:i w:val="1"/>
          <w:iCs w:val="1"/>
          <w:color w:val="454546"/>
        </w:rPr>
        <w:t>in vitro</w:t>
      </w:r>
      <w:r>
        <w:rPr>
          <w:rFonts w:ascii="Times New Roman" w:cs="Times New Roman" w:eastAsia="Times New Roman" w:hAnsi="Times New Roman"/>
          <w:sz w:val="20"/>
          <w:szCs w:val="20"/>
          <w:color w:val="454546"/>
        </w:rPr>
        <w:t xml:space="preserve"> experiments or animal model studies, they may not show promising signals of therapeutic effect in such experiments or studies or they may have other characteristics that may make the product candidates impractical to administer or market.</w:t>
      </w:r>
    </w:p>
    <w:p>
      <w:pPr>
        <w:spacing w:after="0" w:line="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454546"/>
        </w:rPr>
        <w:t>If any of these events occurs,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success of our product candidates will depend on several factors, including but not limited to the following:</w:t>
      </w:r>
    </w:p>
    <w:p>
      <w:pPr>
        <w:spacing w:after="0" w:line="130" w:lineRule="exact"/>
        <w:rPr>
          <w:sz w:val="20"/>
          <w:szCs w:val="20"/>
          <w:color w:val="auto"/>
        </w:rPr>
      </w:pPr>
    </w:p>
    <w:p>
      <w:pPr>
        <w:ind w:left="1080" w:hanging="549"/>
        <w:spacing w:after="0"/>
        <w:tabs>
          <w:tab w:leader="none" w:pos="1080" w:val="left"/>
        </w:tabs>
        <w:numPr>
          <w:ilvl w:val="0"/>
          <w:numId w:val="2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successful completion of preclinical studies;</w:t>
      </w:r>
    </w:p>
    <w:p>
      <w:pPr>
        <w:sectPr>
          <w:pgSz w:w="11880" w:h="15480" w:orient="portrait"/>
          <w:cols w:equalWidth="0" w:num="1">
            <w:col w:w="10220"/>
          </w:cols>
          <w:pgMar w:left="820" w:top="504" w:right="840" w:bottom="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40</w:t>
      </w:r>
    </w:p>
    <w:p>
      <w:pPr>
        <w:sectPr>
          <w:pgSz w:w="11880" w:h="15480" w:orient="portrait"/>
          <w:cols w:equalWidth="0" w:num="1">
            <w:col w:w="10220"/>
          </w:cols>
          <w:pgMar w:left="820" w:top="504" w:right="840" w:bottom="0" w:gutter="0" w:footer="0" w:header="0"/>
          <w:type w:val="continuous"/>
        </w:sectPr>
      </w:pPr>
    </w:p>
    <w:bookmarkStart w:id="42" w:name="page43"/>
    <w:bookmarkEnd w:id="42"/>
    <w:p>
      <w:pPr>
        <w:ind w:left="1100" w:hanging="549"/>
        <w:spacing w:after="0"/>
        <w:tabs>
          <w:tab w:leader="none" w:pos="110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successful submission of INDs and initiation and enrollment of clinical trials;</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establishing an acceptable safety profile of the products and maintaining such a profile following approval;</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achieving desirable therapeutic properties for our product candidates’ intended indications;</w:t>
      </w:r>
    </w:p>
    <w:p>
      <w:pPr>
        <w:spacing w:after="0" w:line="129" w:lineRule="exact"/>
        <w:rPr>
          <w:rFonts w:ascii="Times New Roman" w:cs="Times New Roman" w:eastAsia="Times New Roman" w:hAnsi="Times New Roman"/>
          <w:sz w:val="20"/>
          <w:szCs w:val="20"/>
          <w:color w:val="454546"/>
        </w:rPr>
      </w:pPr>
    </w:p>
    <w:p>
      <w:pPr>
        <w:ind w:left="1100" w:right="100" w:hanging="549"/>
        <w:spacing w:after="0" w:line="287" w:lineRule="auto"/>
        <w:tabs>
          <w:tab w:leader="none" w:pos="110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making arrangements with third-party manufacturers, or establishing manufacturing capabilities, both for clinical and commercial supplies of our product candidates;</w:t>
      </w:r>
    </w:p>
    <w:p>
      <w:pPr>
        <w:spacing w:after="0" w:line="4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receipt and related terms of marketing approvals from applicable regulatory authorities;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obtaining and maintaining patent and trade secret protection and regulatory exclusivity of our product candidates;</w:t>
      </w:r>
    </w:p>
    <w:p>
      <w:pPr>
        <w:spacing w:after="0" w:line="129" w:lineRule="exact"/>
        <w:rPr>
          <w:rFonts w:ascii="Times New Roman" w:cs="Times New Roman" w:eastAsia="Times New Roman" w:hAnsi="Times New Roman"/>
          <w:sz w:val="20"/>
          <w:szCs w:val="20"/>
          <w:color w:val="454546"/>
        </w:rPr>
      </w:pPr>
    </w:p>
    <w:p>
      <w:pPr>
        <w:jc w:val="both"/>
        <w:ind w:left="1080" w:right="100" w:hanging="530"/>
        <w:spacing w:after="0" w:line="269" w:lineRule="auto"/>
        <w:tabs>
          <w:tab w:leader="none" w:pos="108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establishing sales, marketing and distribution capabilities and launching commercial sales of our products; if and when approved, whether alone or in collaboration with others; acceptance of our products, if and when approved, by patients, the medical community and third-party payors;</w:t>
      </w:r>
    </w:p>
    <w:p>
      <w:pPr>
        <w:spacing w:after="0" w:line="66"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obtaining and maintaining third-party coverage and adequate reimbursement;</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effectively competing with other therapies; and</w:t>
      </w:r>
    </w:p>
    <w:p>
      <w:pPr>
        <w:spacing w:after="0" w:line="129" w:lineRule="exact"/>
        <w:rPr>
          <w:rFonts w:ascii="Times New Roman" w:cs="Times New Roman" w:eastAsia="Times New Roman" w:hAnsi="Times New Roman"/>
          <w:sz w:val="20"/>
          <w:szCs w:val="20"/>
          <w:color w:val="454546"/>
        </w:rPr>
      </w:pPr>
    </w:p>
    <w:p>
      <w:pPr>
        <w:ind w:left="1080" w:hanging="531"/>
        <w:spacing w:after="0"/>
        <w:tabs>
          <w:tab w:leader="none" w:pos="1080" w:val="left"/>
        </w:tabs>
        <w:numPr>
          <w:ilvl w:val="0"/>
          <w:numId w:val="2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sufficiency of our financial and other resources.</w:t>
      </w:r>
    </w:p>
    <w:p>
      <w:pPr>
        <w:spacing w:after="0" w:line="130"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454546"/>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18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Our clinical trials may fail to demonstrate substantial evidence of the safety and efficacy of our product candidates, which would delay or prevent regulatory approval of the product candidates, limit the commercial potential, or result in significant negative consequences following any potential marketing approval.</w:t>
      </w:r>
    </w:p>
    <w:p>
      <w:pPr>
        <w:spacing w:after="0" w:line="6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454546"/>
        </w:rPr>
        <w:t>To obtain the requisite regulatory approvals to market and sell any of our product candidates, we must demonstrate through extensive preclinical studies and clinical trials that such product candidates are safe and effective for use in each targeted indication. Failure can occur at any time during the clinical development process. Most product candidates that begin clinical trials are never approved by regulatory authorities for commercialization. It is impossible to predict when or if any product candidates we may develop will prove safe in humans. Our clinical trials may fail to demonstrate with substantial evidence from adequate and well-controlled trials, and to the satisfaction of the FDA or comparable foreign regulatory authorities, that such product candidates are safe and effective for their intended uses. There can be no assurance that our clinical trials will not cause undesirable side effects.</w:t>
      </w:r>
    </w:p>
    <w:p>
      <w:pPr>
        <w:spacing w:after="0" w:line="201" w:lineRule="exact"/>
        <w:rPr>
          <w:sz w:val="20"/>
          <w:szCs w:val="20"/>
          <w:color w:val="auto"/>
        </w:rPr>
      </w:pPr>
    </w:p>
    <w:p>
      <w:pPr>
        <w:ind w:left="20" w:right="60"/>
        <w:spacing w:after="0" w:line="255" w:lineRule="auto"/>
        <w:rPr>
          <w:sz w:val="20"/>
          <w:szCs w:val="20"/>
          <w:color w:val="auto"/>
        </w:rPr>
      </w:pPr>
      <w:r>
        <w:rPr>
          <w:rFonts w:ascii="Times New Roman" w:cs="Times New Roman" w:eastAsia="Times New Roman" w:hAnsi="Times New Roman"/>
          <w:sz w:val="20"/>
          <w:szCs w:val="20"/>
          <w:color w:val="454546"/>
        </w:rPr>
        <w:t>If any product candidates we develop are associated with or cause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 Additionally, any safety concerns observed in any one of our clinical trials in our targeted indications could limit the prospects for regulatory approval of our product candidates in those and other indications.</w:t>
      </w:r>
    </w:p>
    <w:p>
      <w:pPr>
        <w:spacing w:after="0" w:line="85"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20"/>
          <w:szCs w:val="20"/>
          <w:color w:val="454546"/>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76"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20"/>
          <w:szCs w:val="20"/>
          <w:color w:val="454546"/>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w:t>
      </w:r>
    </w:p>
    <w:p>
      <w:pPr>
        <w:spacing w:after="0" w:line="67" w:lineRule="exact"/>
        <w:rPr>
          <w:sz w:val="20"/>
          <w:szCs w:val="20"/>
          <w:color w:val="auto"/>
        </w:rPr>
      </w:pPr>
    </w:p>
    <w:p>
      <w:pPr>
        <w:ind w:left="20" w:right="320"/>
        <w:spacing w:after="0" w:line="269" w:lineRule="auto"/>
        <w:rPr>
          <w:sz w:val="20"/>
          <w:szCs w:val="20"/>
          <w:color w:val="auto"/>
        </w:rPr>
      </w:pPr>
      <w:r>
        <w:rPr>
          <w:rFonts w:ascii="Times New Roman" w:cs="Times New Roman" w:eastAsia="Times New Roman" w:hAnsi="Times New Roman"/>
          <w:sz w:val="20"/>
          <w:szCs w:val="20"/>
          <w:color w:val="454546"/>
        </w:rPr>
        <w:t>Any of these events could prevent us from achieving or maintaining market acceptance of any product candidates we may identify and develop and could have a material adverse effect on our business, financial condition, results of operations, and prospects.</w:t>
      </w:r>
    </w:p>
    <w:p>
      <w:pPr>
        <w:spacing w:after="0" w:line="67" w:lineRule="exact"/>
        <w:rPr>
          <w:sz w:val="20"/>
          <w:szCs w:val="20"/>
          <w:color w:val="auto"/>
        </w:rPr>
      </w:pPr>
    </w:p>
    <w:p>
      <w:pPr>
        <w:ind w:left="20" w:right="80"/>
        <w:spacing w:after="0" w:line="269" w:lineRule="auto"/>
        <w:rPr>
          <w:sz w:val="20"/>
          <w:szCs w:val="20"/>
          <w:color w:val="auto"/>
        </w:rPr>
      </w:pPr>
      <w:r>
        <w:rPr>
          <w:rFonts w:ascii="Times New Roman" w:cs="Times New Roman" w:eastAsia="Times New Roman" w:hAnsi="Times New Roman"/>
          <w:sz w:val="20"/>
          <w:szCs w:val="20"/>
          <w:color w:val="454546"/>
        </w:rPr>
        <w:t>Even if our clinical trials are successfully completed, clinical data are often subject to varying interpretations and analyses, and we cannot guarantee that the FDA or comparable foreign regulatory authorities will interpret the results as we do. Results acceptable to support approval in one jurisdiction may be deemed inadequate by another regulatory authority to support</w:t>
      </w:r>
    </w:p>
    <w:p>
      <w:pPr>
        <w:sectPr>
          <w:pgSz w:w="11880" w:h="15480" w:orient="portrait"/>
          <w:cols w:equalWidth="0" w:num="1">
            <w:col w:w="10260"/>
          </w:cols>
          <w:pgMar w:left="80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41</w:t>
      </w:r>
    </w:p>
    <w:p>
      <w:pPr>
        <w:sectPr>
          <w:pgSz w:w="11880" w:h="15480" w:orient="portrait"/>
          <w:cols w:equalWidth="0" w:num="1">
            <w:col w:w="10260"/>
          </w:cols>
          <w:pgMar w:left="800" w:top="504" w:right="820" w:bottom="0" w:gutter="0" w:footer="0" w:header="0"/>
          <w:type w:val="continuous"/>
        </w:sectPr>
      </w:pPr>
    </w:p>
    <w:bookmarkStart w:id="43" w:name="page44"/>
    <w:bookmarkEnd w:id="43"/>
    <w:p>
      <w:pPr>
        <w:ind w:right="180"/>
        <w:spacing w:after="0" w:line="287" w:lineRule="auto"/>
        <w:rPr>
          <w:sz w:val="20"/>
          <w:szCs w:val="20"/>
          <w:color w:val="auto"/>
        </w:rPr>
      </w:pPr>
      <w:r>
        <w:rPr>
          <w:rFonts w:ascii="Times New Roman" w:cs="Times New Roman" w:eastAsia="Times New Roman" w:hAnsi="Times New Roman"/>
          <w:sz w:val="20"/>
          <w:szCs w:val="20"/>
          <w:color w:val="454546"/>
        </w:rPr>
        <w:t>regulatory approval in that other jurisdiction. Even if regulatory approval is secured for a product candidate, the terms of such approval may also limit its commercial potential.</w:t>
      </w:r>
    </w:p>
    <w:p>
      <w:pPr>
        <w:spacing w:after="0" w:line="17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may not be able to file INDs or IND amendments to commence clinical trials of our product candidates on the timelines we or our partners expect, and even if we are able to, the FDA may not permit us to proceed.</w:t>
      </w:r>
    </w:p>
    <w:p>
      <w:pPr>
        <w:spacing w:after="0" w:line="5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454546"/>
        </w:rPr>
        <w:t>In order to commence a clinical trial in the United States, we and our partner are required to seek FDA acceptance of an IND for each of our product candidates. We cannot be sure any IND we and our partners submit to the FDA, or any similar clinical trial application we and our partners submit in other countries, will be accepted. We may also be required to conduct additional preclinical testing prior to filing or acceptance of an IND for any of our product candidates, and the results of any such additional preclinical testing may not be positive.</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454546"/>
        </w:rPr>
        <w:t>Further, we may experience manufacturing delays or other delays with IND-enabling studies. Moreover, we cannot be sure that even once clinical trials have begun, issues will not arise that suspend or terminate clinical trials. Additionally, even if the FDA agrees with the design and implementation of the clinical trials set forth in an IND, we cannot guarantee that the FDA will not change its requirements in the future. These considerations also apply to new clinical trials we may submit as amendments to existing INDs or to a new IND. Any failure to file INDs on the timelines we expect or to obtain regulatory authorizations for our trials to proceed may prevent us from completing our clinical trials or commercializing our product candidates on a timely basis, if at all.</w:t>
      </w:r>
    </w:p>
    <w:p>
      <w:pPr>
        <w:spacing w:after="0" w:line="20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There is substantial competition in our field, which may result in others developing or commercializing products before we do.</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The biotechnology and pharmaceutical industries utilize rapidly advancing technologies and are characterized by intense competition. While we believe that our scientific knowledge and platform development expertise provide us with competitive advantages, we face potential competition from many different sources, including major pharmaceuticals, specialty pharmaceuticals and biotechnology companies, academic institutions and government agencies, and public and private research institutes that conduct research, development, manufacturing and commercialization. Many of our competitors have significantly greater financial resources and expertise in research and development, manufacturing, preclinical testing, enrolling and conducting clinical trials, and seeking regulatory approvals and product marketing than we do, and have potential to advance products competitive with our product candidates or other programs addressing the chromatin regulatory system at a rapid pace. In addition, our competitors may compete with us in recruiting and retaining qualified scientific and management personnel and establishing clinical trial sites and patient registration for clinical trials, as well as in acquiring technologies complementary to, or necessary for, our programs. Our competitors may advance competing product candidates that have a more attractive product profile than our product candidates, make progress examining the chromatin regulatory system or bring a product to market before we can. Any of these developments could put us at a significant competitive disadvantage and have a material adverse effect on the prospects of our business.</w:t>
      </w:r>
    </w:p>
    <w:p>
      <w:pPr>
        <w:spacing w:after="0" w:line="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454546"/>
        </w:rPr>
        <w:t>Product candidates that we and our collaborators successfully develop and commercialize will compete with existing therapies and new therapies that may become available in the future. While we are not aware of other companies addressing the chromatin regulatory system at scale, in context and in an integrated way, we are aware of efforts to bring products to market that could be competitive with ours if our programs are successful. If our product candidates are approved for the indications for which we are currently planning clinical trials, they will likely compete with the competitor drugs mentioned above and with other drugs that are currently in development.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“Business—Competition.”</w:t>
      </w:r>
    </w:p>
    <w:p>
      <w:pPr>
        <w:spacing w:after="0" w:line="20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Product development is a lengthy and expensive process with an uncertain outcome. We may incur unexpected costs or experience delays in completing, or ultimately be unable to complete, the development and commercialization of our product candidates.</w:t>
      </w:r>
    </w:p>
    <w:p>
      <w:pPr>
        <w:spacing w:after="0" w:line="18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454546"/>
        </w:rPr>
        <w:t>We have one product candidate, FHD-909, which is partnered with Lilly, in Phase 1 clinical development; our other product candidates are in preclinical development, and, as a result,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testing and studies that support our planned INDs in the United States or similar applications in other jurisdictions. We cannot be certain of the timely completion or outcome of our preclinical testing</w:t>
      </w:r>
    </w:p>
    <w:p>
      <w:pPr>
        <w:sectPr>
          <w:pgSz w:w="11880" w:h="15480" w:orient="portrait"/>
          <w:cols w:equalWidth="0" w:num="1">
            <w:col w:w="10240"/>
          </w:cols>
          <w:pgMar w:left="820" w:top="504" w:right="820"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42</w:t>
      </w:r>
    </w:p>
    <w:p>
      <w:pPr>
        <w:sectPr>
          <w:pgSz w:w="11880" w:h="15480" w:orient="portrait"/>
          <w:cols w:equalWidth="0" w:num="1">
            <w:col w:w="10240"/>
          </w:cols>
          <w:pgMar w:left="820" w:top="504" w:right="820" w:bottom="0" w:gutter="0" w:footer="0" w:header="0"/>
          <w:type w:val="continuous"/>
        </w:sectPr>
      </w:pPr>
    </w:p>
    <w:bookmarkStart w:id="44" w:name="page45"/>
    <w:bookmarkEnd w:id="44"/>
    <w:p>
      <w:pPr>
        <w:ind w:left="20" w:right="100"/>
        <w:spacing w:after="0" w:line="269" w:lineRule="auto"/>
        <w:rPr>
          <w:sz w:val="20"/>
          <w:szCs w:val="20"/>
          <w:color w:val="auto"/>
        </w:rPr>
      </w:pPr>
      <w:r>
        <w:rPr>
          <w:rFonts w:ascii="Times New Roman" w:cs="Times New Roman" w:eastAsia="Times New Roman" w:hAnsi="Times New Roman"/>
          <w:sz w:val="20"/>
          <w:szCs w:val="20"/>
          <w:color w:val="454546"/>
        </w:rPr>
        <w:t>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67" w:lineRule="exact"/>
        <w:rPr>
          <w:sz w:val="20"/>
          <w:szCs w:val="20"/>
          <w:color w:val="auto"/>
        </w:rPr>
      </w:pPr>
    </w:p>
    <w:p>
      <w:pPr>
        <w:ind w:left="20" w:right="120"/>
        <w:spacing w:after="0" w:line="259" w:lineRule="auto"/>
        <w:rPr>
          <w:sz w:val="20"/>
          <w:szCs w:val="20"/>
          <w:color w:val="auto"/>
        </w:rPr>
      </w:pPr>
      <w:r>
        <w:rPr>
          <w:rFonts w:ascii="Times New Roman" w:cs="Times New Roman" w:eastAsia="Times New Roman" w:hAnsi="Times New Roman"/>
          <w:sz w:val="20"/>
          <w:szCs w:val="20"/>
          <w:color w:val="454546"/>
        </w:rPr>
        <w:t>Clinical testing is expensive, difficult to design and implement, can take many years to complete and is uncertain as to the outcome. A failure of one or more clinical trials can occur at any stage of testing. We cannot guarantee that any of our ongoing and planned clinical trials will be conducted as planned or completed on schedule, if at all. Moreover, we may experience numerous unforeseen events during, or as a result of, clinical trials, that could delay or prevent our ability to receive marketing approval or commercialize our product candidates, including:</w:t>
      </w:r>
    </w:p>
    <w:p>
      <w:pPr>
        <w:spacing w:after="0" w:line="79" w:lineRule="exact"/>
        <w:rPr>
          <w:sz w:val="20"/>
          <w:szCs w:val="20"/>
          <w:color w:val="auto"/>
        </w:rPr>
      </w:pPr>
    </w:p>
    <w:p>
      <w:pPr>
        <w:ind w:left="1100" w:hanging="549"/>
        <w:spacing w:after="0"/>
        <w:tabs>
          <w:tab w:leader="none" w:pos="110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delays in discussions with or obtaining alignment with regulators regarding trial design;</w:t>
      </w:r>
    </w:p>
    <w:p>
      <w:pPr>
        <w:spacing w:after="0" w:line="129" w:lineRule="exact"/>
        <w:rPr>
          <w:rFonts w:ascii="Times New Roman" w:cs="Times New Roman" w:eastAsia="Times New Roman" w:hAnsi="Times New Roman"/>
          <w:sz w:val="20"/>
          <w:szCs w:val="20"/>
          <w:color w:val="454546"/>
        </w:rPr>
      </w:pPr>
    </w:p>
    <w:p>
      <w:pPr>
        <w:ind w:left="1100" w:right="20" w:hanging="549"/>
        <w:spacing w:after="0" w:line="262" w:lineRule="auto"/>
        <w:tabs>
          <w:tab w:leader="none" w:pos="110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supply or quality of our product candidates or other materials necessary to conduct clinical trials of our product candidates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75" w:lineRule="exact"/>
        <w:rPr>
          <w:rFonts w:ascii="Times New Roman" w:cs="Times New Roman" w:eastAsia="Times New Roman" w:hAnsi="Times New Roman"/>
          <w:sz w:val="20"/>
          <w:szCs w:val="20"/>
          <w:color w:val="454546"/>
        </w:rPr>
      </w:pPr>
    </w:p>
    <w:p>
      <w:pPr>
        <w:ind w:left="1100" w:right="380" w:hanging="549"/>
        <w:spacing w:after="0" w:line="287" w:lineRule="auto"/>
        <w:tabs>
          <w:tab w:leader="none" w:pos="110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may experience delays in reaching, or may fail to reach, agreement on acceptable clinical trial contracts or clinical trial protocols with prospective trial sites;</w:t>
      </w:r>
    </w:p>
    <w:p>
      <w:pPr>
        <w:spacing w:after="0" w:line="4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may experience delays in enrolling patients or may compete with other trials to enroll patients;</w:t>
      </w:r>
    </w:p>
    <w:p>
      <w:pPr>
        <w:spacing w:after="0" w:line="129" w:lineRule="exact"/>
        <w:rPr>
          <w:rFonts w:ascii="Times New Roman" w:cs="Times New Roman" w:eastAsia="Times New Roman" w:hAnsi="Times New Roman"/>
          <w:sz w:val="20"/>
          <w:szCs w:val="20"/>
          <w:color w:val="454546"/>
        </w:rPr>
      </w:pPr>
    </w:p>
    <w:p>
      <w:pPr>
        <w:ind w:left="1100" w:right="140" w:hanging="549"/>
        <w:spacing w:after="0" w:line="287" w:lineRule="auto"/>
        <w:tabs>
          <w:tab w:leader="none" w:pos="110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regulators or institutional review boards may not authorize us or our investigators to commence a clinical trial or conduct a clinical trial at a prospective trial site;</w:t>
      </w:r>
    </w:p>
    <w:p>
      <w:pPr>
        <w:spacing w:after="0" w:line="49" w:lineRule="exact"/>
        <w:rPr>
          <w:rFonts w:ascii="Times New Roman" w:cs="Times New Roman" w:eastAsia="Times New Roman" w:hAnsi="Times New Roman"/>
          <w:sz w:val="20"/>
          <w:szCs w:val="20"/>
          <w:color w:val="454546"/>
        </w:rPr>
      </w:pPr>
    </w:p>
    <w:p>
      <w:pPr>
        <w:ind w:left="1100" w:right="80" w:hanging="550"/>
        <w:spacing w:after="0" w:line="287" w:lineRule="auto"/>
        <w:tabs>
          <w:tab w:leader="none" w:pos="110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may experience difficulty in designing clinical trials and in selecting endpoints for diseases that have not been well-studied and for which the natural history and course of the disease is poorly understood;</w:t>
      </w:r>
    </w:p>
    <w:p>
      <w:pPr>
        <w:spacing w:after="0" w:line="49" w:lineRule="exact"/>
        <w:rPr>
          <w:rFonts w:ascii="Times New Roman" w:cs="Times New Roman" w:eastAsia="Times New Roman" w:hAnsi="Times New Roman"/>
          <w:sz w:val="20"/>
          <w:szCs w:val="20"/>
          <w:color w:val="454546"/>
        </w:rPr>
      </w:pPr>
    </w:p>
    <w:p>
      <w:pPr>
        <w:ind w:left="1080" w:right="120" w:hanging="530"/>
        <w:spacing w:after="0" w:line="287"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selection of certain clinical endpoints may require prolonged periods of clinical observation or analysis of the resulting data;</w:t>
      </w:r>
    </w:p>
    <w:p>
      <w:pPr>
        <w:spacing w:after="0" w:line="49" w:lineRule="exact"/>
        <w:rPr>
          <w:rFonts w:ascii="Times New Roman" w:cs="Times New Roman" w:eastAsia="Times New Roman" w:hAnsi="Times New Roman"/>
          <w:sz w:val="20"/>
          <w:szCs w:val="20"/>
          <w:color w:val="454546"/>
        </w:rPr>
      </w:pPr>
    </w:p>
    <w:p>
      <w:pPr>
        <w:ind w:left="1080" w:right="200" w:hanging="530"/>
        <w:spacing w:after="0" w:line="269"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6" w:lineRule="exact"/>
        <w:rPr>
          <w:rFonts w:ascii="Times New Roman" w:cs="Times New Roman" w:eastAsia="Times New Roman" w:hAnsi="Times New Roman"/>
          <w:sz w:val="20"/>
          <w:szCs w:val="20"/>
          <w:color w:val="454546"/>
        </w:rPr>
      </w:pPr>
    </w:p>
    <w:p>
      <w:pPr>
        <w:ind w:left="1080" w:right="580" w:hanging="530"/>
        <w:spacing w:after="0" w:line="287"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may fail to perform clinical trials in accordance with the FDA’s or any other regulatory authority’s good clinical practices (“GCP”) requirements, or regulatory guidelines in other countries;</w:t>
      </w:r>
    </w:p>
    <w:p>
      <w:pPr>
        <w:spacing w:after="0" w:line="49" w:lineRule="exact"/>
        <w:rPr>
          <w:rFonts w:ascii="Times New Roman" w:cs="Times New Roman" w:eastAsia="Times New Roman" w:hAnsi="Times New Roman"/>
          <w:sz w:val="20"/>
          <w:szCs w:val="20"/>
          <w:color w:val="454546"/>
        </w:rPr>
      </w:pPr>
    </w:p>
    <w:p>
      <w:pPr>
        <w:ind w:left="1080" w:hanging="531"/>
        <w:spacing w:after="0" w:line="269"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product candidates may have undesirable side effects or other unexpected characteristics, or adverse events associated with the product candidate may occur which are viewed to outweigh its potential benefits, causing us or our investigators, regulators or institutional review boards to suspend or terminate the trials;</w:t>
      </w:r>
    </w:p>
    <w:p>
      <w:pPr>
        <w:spacing w:after="0" w:line="66" w:lineRule="exact"/>
        <w:rPr>
          <w:rFonts w:ascii="Times New Roman" w:cs="Times New Roman" w:eastAsia="Times New Roman" w:hAnsi="Times New Roman"/>
          <w:sz w:val="20"/>
          <w:szCs w:val="20"/>
          <w:color w:val="454546"/>
        </w:rPr>
      </w:pPr>
    </w:p>
    <w:p>
      <w:pPr>
        <w:ind w:left="1080" w:right="440" w:hanging="531"/>
        <w:spacing w:after="0" w:line="287"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may have to suspend or terminate clinical trials of our product candidates for various reasons, including a finding that the participants are being exposed to unacceptable health risks;</w:t>
      </w:r>
    </w:p>
    <w:p>
      <w:pPr>
        <w:spacing w:after="0" w:line="49" w:lineRule="exact"/>
        <w:rPr>
          <w:rFonts w:ascii="Times New Roman" w:cs="Times New Roman" w:eastAsia="Times New Roman" w:hAnsi="Times New Roman"/>
          <w:sz w:val="20"/>
          <w:szCs w:val="20"/>
          <w:color w:val="454546"/>
        </w:rPr>
      </w:pPr>
    </w:p>
    <w:p>
      <w:pPr>
        <w:ind w:left="1080" w:right="160" w:hanging="531"/>
        <w:spacing w:after="0" w:line="287"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third-party contractors may fail to comply with regulatory requirements or meet their contractual obligations to us in a timely manner, or at all;</w:t>
      </w:r>
    </w:p>
    <w:p>
      <w:pPr>
        <w:spacing w:after="0" w:line="49" w:lineRule="exact"/>
        <w:rPr>
          <w:rFonts w:ascii="Times New Roman" w:cs="Times New Roman" w:eastAsia="Times New Roman" w:hAnsi="Times New Roman"/>
          <w:sz w:val="20"/>
          <w:szCs w:val="20"/>
          <w:color w:val="454546"/>
        </w:rPr>
      </w:pPr>
    </w:p>
    <w:p>
      <w:pPr>
        <w:ind w:left="1080" w:right="360" w:hanging="531"/>
        <w:spacing w:after="0" w:line="287"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regulators or institutional review boards may require that we or our investigators suspend or terminate clinical trials for various reasons, including noncompliance with regulatory requirements;</w:t>
      </w:r>
    </w:p>
    <w:p>
      <w:pPr>
        <w:spacing w:after="0" w:line="49" w:lineRule="exact"/>
        <w:rPr>
          <w:rFonts w:ascii="Times New Roman" w:cs="Times New Roman" w:eastAsia="Times New Roman" w:hAnsi="Times New Roman"/>
          <w:sz w:val="20"/>
          <w:szCs w:val="20"/>
          <w:color w:val="454546"/>
        </w:rPr>
      </w:pPr>
    </w:p>
    <w:p>
      <w:pPr>
        <w:ind w:left="1080" w:right="480" w:hanging="531"/>
        <w:spacing w:after="0" w:line="287"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clinical trials of our product candidates may produce negative or inconclusive results, and we may decide, or regulators may require us, to conduct additional clinical trials or abandon product development programs;</w:t>
      </w:r>
    </w:p>
    <w:p>
      <w:pPr>
        <w:spacing w:after="0" w:line="49" w:lineRule="exact"/>
        <w:rPr>
          <w:rFonts w:ascii="Times New Roman" w:cs="Times New Roman" w:eastAsia="Times New Roman" w:hAnsi="Times New Roman"/>
          <w:sz w:val="20"/>
          <w:szCs w:val="20"/>
          <w:color w:val="454546"/>
        </w:rPr>
      </w:pPr>
    </w:p>
    <w:p>
      <w:pPr>
        <w:ind w:left="1080" w:hanging="532"/>
        <w:spacing w:after="0"/>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cost of clinical trials of our product candidates may be greater than we anticipate; and</w:t>
      </w:r>
    </w:p>
    <w:p>
      <w:pPr>
        <w:spacing w:after="0" w:line="129" w:lineRule="exact"/>
        <w:rPr>
          <w:rFonts w:ascii="Times New Roman" w:cs="Times New Roman" w:eastAsia="Times New Roman" w:hAnsi="Times New Roman"/>
          <w:sz w:val="20"/>
          <w:szCs w:val="20"/>
          <w:color w:val="454546"/>
        </w:rPr>
      </w:pPr>
    </w:p>
    <w:p>
      <w:pPr>
        <w:ind w:left="1080" w:right="20" w:hanging="532"/>
        <w:spacing w:after="0" w:line="269" w:lineRule="auto"/>
        <w:tabs>
          <w:tab w:leader="none" w:pos="1080" w:val="left"/>
        </w:tabs>
        <w:numPr>
          <w:ilvl w:val="0"/>
          <w:numId w:val="2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could be required to conduct additional clinical trials or testing of our product candidates beyond those that we currently contemplate, which may result in a delay in our market approval, limitation of approval for patient populations, distribution limitations, or not obtaining marketing approval at all.</w:t>
      </w:r>
    </w:p>
    <w:p>
      <w:pPr>
        <w:spacing w:after="0" w:line="6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454546"/>
        </w:rPr>
        <w:t>We could also encounter delays if a clinical trial is suspended or terminated by us, the IRBs of the institutions in which such trials are being conducted, or the FDA or comparable foreign regulatory authorities, or is recommended for suspension or termination by the data monitoring committee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w:t>
      </w:r>
    </w:p>
    <w:p>
      <w:pPr>
        <w:sectPr>
          <w:pgSz w:w="11880" w:h="15480" w:orient="portrait"/>
          <w:cols w:equalWidth="0" w:num="1">
            <w:col w:w="10260"/>
          </w:cols>
          <w:pgMar w:left="800" w:top="504" w:right="820" w:bottom="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43</w:t>
      </w:r>
    </w:p>
    <w:p>
      <w:pPr>
        <w:sectPr>
          <w:pgSz w:w="11880" w:h="15480" w:orient="portrait"/>
          <w:cols w:equalWidth="0" w:num="1">
            <w:col w:w="10260"/>
          </w:cols>
          <w:pgMar w:left="800" w:top="504" w:right="820" w:bottom="0" w:gutter="0" w:footer="0" w:header="0"/>
          <w:type w:val="continuous"/>
        </w:sectPr>
      </w:pPr>
    </w:p>
    <w:bookmarkStart w:id="45" w:name="page46"/>
    <w:bookmarkEnd w:id="45"/>
    <w:p>
      <w:pPr>
        <w:ind w:right="100"/>
        <w:spacing w:after="0" w:line="262" w:lineRule="auto"/>
        <w:rPr>
          <w:sz w:val="20"/>
          <w:szCs w:val="20"/>
          <w:color w:val="auto"/>
        </w:rPr>
      </w:pPr>
      <w:r>
        <w:rPr>
          <w:rFonts w:ascii="Times New Roman" w:cs="Times New Roman" w:eastAsia="Times New Roman" w:hAnsi="Times New Roman"/>
          <w:sz w:val="20"/>
          <w:szCs w:val="20"/>
          <w:color w:val="454546"/>
        </w:rPr>
        <w:t>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are not able to exert unilateral control over the development of product candidates when part of a collaboration.</w:t>
      </w:r>
    </w:p>
    <w:p>
      <w:pPr>
        <w:spacing w:after="0" w:line="13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color w:val="454546"/>
        </w:rPr>
        <w:t>Under the Lilly Collaboration Agreement, we influence, but do not control, the development activity of any of the product candidates covered by the Lilly Collaboration Agreement, including FHD-909. This may result in delayed and/or diminished visibility and predictability of certain aspects of development strategy, which may impact timelines, costs, and ultimate success of the product candidate.</w:t>
      </w:r>
    </w:p>
    <w:p>
      <w:pPr>
        <w:spacing w:after="0" w:line="19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If we experience delays or difficulties in the enrollment and dosing of patients in our clinical trials, our receipt of necessary regulatory approvals for our product candidates could be delayed or prevented.</w:t>
      </w:r>
    </w:p>
    <w:p>
      <w:pPr>
        <w:spacing w:after="0" w:line="5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454546"/>
        </w:rPr>
        <w:t>Identifying and qualifying patients to participate in clinical trials of our product candidates is critical to our success. The timing of our clinical trials depends on our ability to recruit patients to participate in our studies as well as the dosing of such patients and completion of required follow-up periods. Our competitors may compete for the same limited patient populations. If we or our collaborators are unable to locate and enroll a sufficient number of eligible patients to participate in these trials as required by the FDA or other analogous regulatory authorities outside the United States, or as needed to provide appropriate statistical power for a given trial, we may not be able to initiate or continue clinical trials for our current and future product candidates. Additionally, we may face similar challenges or delays in our other or potential future clinical trials. If patients are unwilling to participate in our studies because of negative publicity from adverse events related to the biotechnology field, competitive clinical trials for similar patient populations or for other reasons, the timeline for recruiting patients, conducting studies and obtaining regulatory approval of our product candidates may be delayed. These delays could result in increased costs, delays in advancing our product candidates, delays in testing the effectiveness of our product candidates or termination of the clinical trials altogether.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Patient enrollment is also affected by other factors, including:</w:t>
      </w:r>
    </w:p>
    <w:p>
      <w:pPr>
        <w:spacing w:after="0" w:line="130" w:lineRule="exact"/>
        <w:rPr>
          <w:sz w:val="20"/>
          <w:szCs w:val="20"/>
          <w:color w:val="auto"/>
        </w:rPr>
      </w:pPr>
    </w:p>
    <w:p>
      <w:pPr>
        <w:ind w:left="1080" w:hanging="549"/>
        <w:spacing w:after="0"/>
        <w:tabs>
          <w:tab w:leader="none" w:pos="10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severity of the disease under investigation;</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size of the patient population and process for identifying patients;</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design of the trial protocol;</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availability and efficacy of approved medications for the disease under investigation;</w:t>
      </w:r>
    </w:p>
    <w:p>
      <w:pPr>
        <w:spacing w:after="0" w:line="129" w:lineRule="exact"/>
        <w:rPr>
          <w:rFonts w:ascii="Times New Roman" w:cs="Times New Roman" w:eastAsia="Times New Roman" w:hAnsi="Times New Roman"/>
          <w:sz w:val="20"/>
          <w:szCs w:val="20"/>
          <w:color w:val="454546"/>
        </w:rPr>
      </w:pPr>
    </w:p>
    <w:p>
      <w:pPr>
        <w:jc w:val="both"/>
        <w:ind w:left="1080" w:right="40" w:hanging="550"/>
        <w:spacing w:after="0" w:line="269" w:lineRule="auto"/>
        <w:tabs>
          <w:tab w:leader="none" w:pos="10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convenience and ease of administration compared to approved or other investigational medications for the disease under investigation and the willingness of patients to undergo the surgical procedures necessary to administer our product candidates, such as biopsy;</w:t>
      </w:r>
    </w:p>
    <w:p>
      <w:pPr>
        <w:spacing w:after="0" w:line="66"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ability to obtain and maintain patient informed consent;</w:t>
      </w:r>
    </w:p>
    <w:p>
      <w:pPr>
        <w:spacing w:after="0" w:line="129" w:lineRule="exact"/>
        <w:rPr>
          <w:rFonts w:ascii="Times New Roman" w:cs="Times New Roman" w:eastAsia="Times New Roman" w:hAnsi="Times New Roman"/>
          <w:sz w:val="20"/>
          <w:szCs w:val="20"/>
          <w:color w:val="454546"/>
        </w:rPr>
      </w:pPr>
    </w:p>
    <w:p>
      <w:pPr>
        <w:ind w:left="1060" w:hanging="530"/>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risk that enrolled patients will drop out before completion of the trial;</w:t>
      </w:r>
    </w:p>
    <w:p>
      <w:pPr>
        <w:spacing w:after="0" w:line="129" w:lineRule="exact"/>
        <w:rPr>
          <w:rFonts w:ascii="Times New Roman" w:cs="Times New Roman" w:eastAsia="Times New Roman" w:hAnsi="Times New Roman"/>
          <w:sz w:val="20"/>
          <w:szCs w:val="20"/>
          <w:color w:val="454546"/>
        </w:rPr>
      </w:pPr>
    </w:p>
    <w:p>
      <w:pPr>
        <w:ind w:left="1060" w:hanging="530"/>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eligibility and exclusion criteria for the trial in question;</w:t>
      </w:r>
    </w:p>
    <w:p>
      <w:pPr>
        <w:spacing w:after="0" w:line="129" w:lineRule="exact"/>
        <w:rPr>
          <w:rFonts w:ascii="Times New Roman" w:cs="Times New Roman" w:eastAsia="Times New Roman" w:hAnsi="Times New Roman"/>
          <w:sz w:val="20"/>
          <w:szCs w:val="20"/>
          <w:color w:val="454546"/>
        </w:rPr>
      </w:pPr>
    </w:p>
    <w:p>
      <w:pPr>
        <w:ind w:left="1060" w:hanging="530"/>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perceived risks and benefits of the product candidate under trial;</w:t>
      </w:r>
    </w:p>
    <w:p>
      <w:pPr>
        <w:spacing w:after="0" w:line="129" w:lineRule="exact"/>
        <w:rPr>
          <w:rFonts w:ascii="Times New Roman" w:cs="Times New Roman" w:eastAsia="Times New Roman" w:hAnsi="Times New Roman"/>
          <w:sz w:val="20"/>
          <w:szCs w:val="20"/>
          <w:color w:val="454546"/>
        </w:rPr>
      </w:pPr>
    </w:p>
    <w:p>
      <w:pPr>
        <w:ind w:left="1060" w:hanging="531"/>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efforts to facilitate timely enrollment in clinical trials;</w:t>
      </w:r>
    </w:p>
    <w:p>
      <w:pPr>
        <w:spacing w:after="0" w:line="129" w:lineRule="exact"/>
        <w:rPr>
          <w:rFonts w:ascii="Times New Roman" w:cs="Times New Roman" w:eastAsia="Times New Roman" w:hAnsi="Times New Roman"/>
          <w:sz w:val="20"/>
          <w:szCs w:val="20"/>
          <w:color w:val="454546"/>
        </w:rPr>
      </w:pPr>
    </w:p>
    <w:p>
      <w:pPr>
        <w:ind w:left="1060" w:hanging="531"/>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patient referral practices of physicians;</w:t>
      </w:r>
    </w:p>
    <w:p>
      <w:pPr>
        <w:spacing w:after="0" w:line="129" w:lineRule="exact"/>
        <w:rPr>
          <w:rFonts w:ascii="Times New Roman" w:cs="Times New Roman" w:eastAsia="Times New Roman" w:hAnsi="Times New Roman"/>
          <w:sz w:val="20"/>
          <w:szCs w:val="20"/>
          <w:color w:val="454546"/>
        </w:rPr>
      </w:pPr>
    </w:p>
    <w:p>
      <w:pPr>
        <w:ind w:left="1060" w:hanging="531"/>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ability to monitor patients adequately during and after treatment;</w:t>
      </w:r>
    </w:p>
    <w:p>
      <w:pPr>
        <w:spacing w:after="0" w:line="129" w:lineRule="exact"/>
        <w:rPr>
          <w:rFonts w:ascii="Times New Roman" w:cs="Times New Roman" w:eastAsia="Times New Roman" w:hAnsi="Times New Roman"/>
          <w:sz w:val="20"/>
          <w:szCs w:val="20"/>
          <w:color w:val="454546"/>
        </w:rPr>
      </w:pPr>
    </w:p>
    <w:p>
      <w:pPr>
        <w:ind w:left="1060" w:hanging="531"/>
        <w:spacing w:after="0"/>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proximity and availability of clinical trial sites for prospective patients; and</w:t>
      </w:r>
    </w:p>
    <w:p>
      <w:pPr>
        <w:spacing w:after="0" w:line="129" w:lineRule="exact"/>
        <w:rPr>
          <w:rFonts w:ascii="Times New Roman" w:cs="Times New Roman" w:eastAsia="Times New Roman" w:hAnsi="Times New Roman"/>
          <w:sz w:val="20"/>
          <w:szCs w:val="20"/>
          <w:color w:val="454546"/>
        </w:rPr>
      </w:pPr>
    </w:p>
    <w:p>
      <w:pPr>
        <w:ind w:left="1060" w:right="120" w:hanging="531"/>
        <w:spacing w:after="0" w:line="287" w:lineRule="auto"/>
        <w:tabs>
          <w:tab w:leader="none" w:pos="1060" w:val="left"/>
        </w:tabs>
        <w:numPr>
          <w:ilvl w:val="0"/>
          <w:numId w:val="2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factors we may not be able to control, such as potential pandemics that may limit patients, principal investigators or staff or clinical site availability.</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44</w:t>
      </w:r>
    </w:p>
    <w:p>
      <w:pPr>
        <w:sectPr>
          <w:pgSz w:w="11880" w:h="15480" w:orient="portrait"/>
          <w:cols w:equalWidth="0" w:num="1">
            <w:col w:w="10240"/>
          </w:cols>
          <w:pgMar w:left="820" w:top="504" w:right="820" w:bottom="0" w:gutter="0" w:footer="0" w:header="0"/>
          <w:type w:val="continuous"/>
        </w:sectPr>
      </w:pPr>
    </w:p>
    <w:bookmarkStart w:id="46" w:name="page47"/>
    <w:bookmarkEnd w:id="46"/>
    <w:p>
      <w:pPr>
        <w:ind w:right="20"/>
        <w:spacing w:after="0" w:line="257" w:lineRule="auto"/>
        <w:rPr>
          <w:sz w:val="20"/>
          <w:szCs w:val="20"/>
          <w:color w:val="auto"/>
        </w:rPr>
      </w:pPr>
      <w:r>
        <w:rPr>
          <w:rFonts w:ascii="Times New Roman" w:cs="Times New Roman" w:eastAsia="Times New Roman" w:hAnsi="Times New Roman"/>
          <w:sz w:val="20"/>
          <w:szCs w:val="20"/>
          <w:color w:val="454546"/>
        </w:rPr>
        <w:t>Enrollment delays in our clinical trials may result in increased development costs for our product candidates, which would cause the value of our company to decline and limit our ability to obtain additional financing. If we have difficulty enrolling a sufficient number of patients to conduct our clinical trials as planned, we may need to delay, limit, or terminate clinical trials for our product candidates, or expand to additional jurisdictions, which could impose additional challenges on our company and expose us to risks. If we are not successful in conducting our clinical trials as planned, it would have an adverse effect on our business, financial condition, results of operations, and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Any favorable preclinical results may not be predictive of results that may be observed in clinical trials.</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454546"/>
        </w:rPr>
        <w:t>Data obtained from preclinical activities are subject to varying interpretations and analyses, which may delay, limit or prevent regulatory approval. Many companies that have believed their product candidates performed satisfactorily in preclinical studies have nonetheless failed to demonstrate results in clinical studies. As we generate preclinical results, such results will not ensure that later preclinical studies or clinical trials will demonstrate similar results. There is a high failure rate for drugs and biologics proceeding through clinical trials. Even product candidates that reach the clinical trial stage may fail to show the desired safety and efficacy in a later stage of clinical development. A number of companies in the pharmaceutical and biotechnology industries have suffered significant setbacks in later-stage clinical trials even after achieving promising results in the preclinical and early stage clinical trials.</w:t>
      </w:r>
    </w:p>
    <w:p>
      <w:pPr>
        <w:spacing w:after="0" w:line="20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Our approach to the discovery of product candidates is unproven, and we may not be successful in our efforts to use and expand our platform to build a pipeline of product candidates with commercial value.</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A key element of our strategy is to use and expand our Gene Traffic Control platform to build a pipeline of product candidates and progress these product candidates through clinical development for the treatment of various cancers and other therapeutic areas. Our research and development efforts to date have resulted in our discovery and preclinical development of FHD- 909 for the treatment of cancer. However, FHD-909 and any other cancer product candidates we may advance into the clinic may not be safe or effective as cancer treatments, and we may not be able to develop any other product candidates. We may not be successful in identifying further targets in the chromatin regulatory system that are relevant in cancer, or other diseases, and which can be “basketed” into a group that is large enough to present a sufficient commercial opportunity or that is druggable with one chemical compound.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20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rely on third parties to perform pre-clinical experiments, to manufacture our preclinical and clinical product supplies, to produce and process clinical quantities of our product candidates and to assist with clinical trials.</w:t>
      </w:r>
    </w:p>
    <w:p>
      <w:pPr>
        <w:spacing w:after="0" w:line="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454546"/>
        </w:rPr>
        <w:t>We currently rely on third parties to perform certain pre-clinical experiments, manufacture preclinical and clinical product supplies and to manufacture clinical supplies of our product candidates, and certain of these third parties are located outside the United States, including in China. We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The facilities used by our contract manufacturers to manufacture our product candidates must be approved by the FDA or other foreign regulatory authorities following inspections that will be conducted after we submit an application to the FDA or other foreign regulatory authorities. We will be completely dependent on our contract manufacturing partners for compliance with cGMP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if it withdraws any approval in the future, or if it otherwise identifies noncompliance with cGMPs at these facilities, we may need to find alternative manufacturing facilities, which would require the incurrence of significant additional costs and significantly impact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results of operations, and prospects could be materially and adversely affected.</w:t>
      </w:r>
    </w:p>
    <w:p>
      <w:pPr>
        <w:spacing w:after="0" w:line="8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454546"/>
        </w:rPr>
        <w:t>In addition, we have relied upon and plan to continue to rely upon third-party clinical investigators, contract research organizations, or CROs, and consultants. Relying on third-party clinical investigators, CROs and consultants may force us to encounter delays that are outside of our control, including delays and restrictions that may be imposed by legislation or</w:t>
      </w:r>
    </w:p>
    <w:p>
      <w:pPr>
        <w:sectPr>
          <w:pgSz w:w="11880" w:h="15480" w:orient="portrait"/>
          <w:cols w:equalWidth="0" w:num="1">
            <w:col w:w="10260"/>
          </w:cols>
          <w:pgMar w:left="820" w:top="504" w:right="800" w:bottom="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45</w:t>
      </w:r>
    </w:p>
    <w:p>
      <w:pPr>
        <w:sectPr>
          <w:pgSz w:w="11880" w:h="15480" w:orient="portrait"/>
          <w:cols w:equalWidth="0" w:num="1">
            <w:col w:w="10260"/>
          </w:cols>
          <w:pgMar w:left="820" w:top="504" w:right="800" w:bottom="0" w:gutter="0" w:footer="0" w:header="0"/>
          <w:type w:val="continuous"/>
        </w:sectPr>
      </w:pPr>
    </w:p>
    <w:bookmarkStart w:id="47" w:name="page48"/>
    <w:bookmarkEnd w:id="47"/>
    <w:p>
      <w:pPr>
        <w:ind w:right="140"/>
        <w:spacing w:after="0" w:line="262" w:lineRule="auto"/>
        <w:rPr>
          <w:sz w:val="20"/>
          <w:szCs w:val="20"/>
          <w:color w:val="auto"/>
        </w:rPr>
      </w:pPr>
      <w:r>
        <w:rPr>
          <w:rFonts w:ascii="Times New Roman" w:cs="Times New Roman" w:eastAsia="Times New Roman" w:hAnsi="Times New Roman"/>
          <w:sz w:val="20"/>
          <w:szCs w:val="20"/>
          <w:color w:val="454546"/>
        </w:rPr>
        <w:t>executive order or other administrative action. We may be unable to identify and contract with a sufficient number of investigators, CROs and consultants on a timely basis or at all. There can be no assurance that we will be able to negotiate and enter into any additional master services agreement with other CROs, as necessary, on terms that are acceptable to us on a timely basis or at all.</w:t>
      </w:r>
    </w:p>
    <w:p>
      <w:pPr>
        <w:spacing w:after="0" w:line="19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9"/>
          <w:szCs w:val="19"/>
          <w:b w:val="1"/>
          <w:bCs w:val="1"/>
          <w:i w:val="1"/>
          <w:iCs w:val="1"/>
          <w:color w:val="454546"/>
        </w:rPr>
        <w:t>Disruptions at the FDA and other government agencies caused by funding shortages or personnel cuts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The ability of the FDA to review, make decisions relating to development,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w:t>
      </w:r>
    </w:p>
    <w:p>
      <w:pPr>
        <w:spacing w:after="0" w:line="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0"/>
          <w:szCs w:val="20"/>
          <w:color w:val="454546"/>
        </w:rPr>
        <w:t>The current presidential administration and federal government could adopt legislation, regulation, orders or policies that adversely affect our business, including by creating a more challenging and costly environment to pursue the development and commercialization of our current or future product candidates. The impending uncertainty could present new challenges or potential opportunities as we navigate the clinical development and approval process for our product candidates.</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The current administration has also undertaken significant efforts to reduce the size and spending of the federal government, including at the FDA. A significant reduction in the FDA’s workforce or the FDA’s budget, or other disruptions at the FDA, could materially impact the FDA’s ability to engage in a variety of activities that may affect our business, including routine regulatory and oversight activities. The current administration has substantially reduced the FDA’s workforce and may make further reductions, which may lead to disruptions and delays in the FDA’s review and oversight of our product candidates and impact the FDA’s ability to provide timely feedback on our development programs. Further, reductions in workforce in divisions of the FDA responsible for overseeing the importation of pharmaceutical and biological goods may delay our manufacturing timelines. Additionally, reductions in the FDA’s review or inspection divisions could extend review timelines, delay or prevent pre-approval inspections and limit opportunities for FDA feedback on pending applications. Further, FDA may pursue legislative, regulatory or policy changes regarding the standards or processes for approving drug and biological products that we may be unable to satisfy. Any of these actions may delay or limit our ability to obtain FDA approval and commercialize our product candidates.</w:t>
      </w:r>
    </w:p>
    <w:p>
      <w:pPr>
        <w:spacing w:after="0" w:line="9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454546"/>
        </w:rPr>
        <w:t>Additionally, the current administration has discussed several changes to the reach and oversight of the FDA, which could affect its relationship with the pharmaceutical industry, transparency in decision making and ultimately the cost and availability of prescription drugs.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Employee Matters, Managing Growth and Information Technology</w:t>
      </w:r>
    </w:p>
    <w:p>
      <w:pPr>
        <w:spacing w:after="0" w:line="134"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are highly dependent on our key personnel. If we are not successful in attracting and retaining highly qualified personnel, we may not be able to successfully implement our business strategy.</w:t>
      </w:r>
    </w:p>
    <w:p>
      <w:pPr>
        <w:spacing w:after="0" w:line="5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454546"/>
        </w:rPr>
        <w:t>We are highly dependent on Adrian Gottschalk, our Chief Executive Officer.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6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0"/>
          <w:szCs w:val="20"/>
          <w:color w:val="454546"/>
        </w:rPr>
        <w:t>Despite our efforts to retain Mr. Gottschalk and other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w:t>
      </w:r>
    </w:p>
    <w:p>
      <w:pPr>
        <w:spacing w:after="0" w:line="196"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may need to grow the size of our organization, and we may experience difficulties in managing this growth and other issues relating to our employees.</w:t>
      </w:r>
    </w:p>
    <w:p>
      <w:pPr>
        <w:spacing w:after="0" w:line="5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454546"/>
        </w:rPr>
        <w:t>As of December 31, 2025, we had 106 full-time employees. Our ability to compete in the highly competitive biotechnology and pharmaceutical industries depends upon our ability to attract and retain highly qualified managerial, scientific and medical personnel. 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Additionally, changes to U.S. immigration and work authorization laws and regulations, including those that restrain the flow of</w:t>
      </w:r>
    </w:p>
    <w:p>
      <w:pPr>
        <w:sectPr>
          <w:pgSz w:w="11880" w:h="15480" w:orient="portrait"/>
          <w:cols w:equalWidth="0" w:num="1">
            <w:col w:w="10240"/>
          </w:cols>
          <w:pgMar w:left="820" w:top="504" w:right="820" w:bottom="0"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46</w:t>
      </w:r>
    </w:p>
    <w:p>
      <w:pPr>
        <w:sectPr>
          <w:pgSz w:w="11880" w:h="15480" w:orient="portrait"/>
          <w:cols w:equalWidth="0" w:num="1">
            <w:col w:w="10240"/>
          </w:cols>
          <w:pgMar w:left="820" w:top="504" w:right="820" w:bottom="0" w:gutter="0" w:footer="0" w:header="0"/>
          <w:type w:val="continuous"/>
        </w:sectPr>
      </w:pPr>
    </w:p>
    <w:bookmarkStart w:id="48" w:name="page49"/>
    <w:bookmarkEnd w:id="48"/>
    <w:p>
      <w:pPr>
        <w:jc w:val="both"/>
        <w:ind w:right="60"/>
        <w:spacing w:after="0" w:line="269" w:lineRule="auto"/>
        <w:rPr>
          <w:sz w:val="20"/>
          <w:szCs w:val="20"/>
          <w:color w:val="auto"/>
        </w:rPr>
      </w:pPr>
      <w:r>
        <w:rPr>
          <w:rFonts w:ascii="Times New Roman" w:cs="Times New Roman" w:eastAsia="Times New Roman" w:hAnsi="Times New Roman"/>
          <w:sz w:val="20"/>
          <w:szCs w:val="20"/>
          <w:color w:val="454546"/>
        </w:rPr>
        <w:t>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6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0"/>
          <w:szCs w:val="20"/>
          <w:color w:val="454546"/>
        </w:rPr>
        <w:t>Any delay or disruption in hiring such new employees could result in delays in our research and development activities and would harm our business. As our development and commercialization plans and strategies develop, and as we transition into operating as a public company, we expect to need additional managerial, operational, sales, marketing, financial and other personnel, as well as additional facilities to expand our operations.</w:t>
      </w:r>
    </w:p>
    <w:p>
      <w:pPr>
        <w:spacing w:after="0" w:line="7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454546"/>
        </w:rPr>
        <w:t>In the future, we may hire new employees to assume activities and responsibilities within the company, including conducting our research and performing development activities.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203"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9"/>
          <w:szCs w:val="19"/>
          <w:b w:val="1"/>
          <w:bCs w:val="1"/>
          <w:i w:val="1"/>
          <w:iCs w:val="1"/>
          <w:color w:val="454546"/>
        </w:rPr>
        <w:t>Our internal computer systems, or those used by our third-party CROs or other contractors or consultants, may fail or suffer security breaches, which could result in a material disruption of the development programs of our product candidates.</w:t>
      </w:r>
    </w:p>
    <w:p>
      <w:pPr>
        <w:spacing w:after="0" w:line="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Despite the implementation of security measures, our internal computer systems and those of our current and future service providers, including our CROs and other contractors and consultants are vulnerable to damage from computer viruses, ransomware, unauthorized access, denial of service attacks, internal or external hacking, among other cyber attacks. Other events like natural disasters, and telecommunication and electrical failures could also impact the availability of our or our service providers networks. While to our knowledge, we have not experienced a material system failure or security breach to date, like other companies we are subject to attacks and if such an event were to occur and cause interruptions in our operations, it could result in a material disruption of our development programs and our business operations. For example, the loss of data from completed or future preclinical studies and clinical trials could result in delays in our regulatory approval efforts and significantly increase our costs to recover or reproduce the data. Such an attack could also have reputational impact, result in regulatory investigations, fines, litigation, remediation costs, increased insurance premiums or impact the availability of insurance, and other costs.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Business disruptions could seriously harm our future revenue and financial condition and increase our costs and expenses.</w:t>
      </w:r>
    </w:p>
    <w:p>
      <w:pPr>
        <w:spacing w:after="0" w:line="13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454546"/>
        </w:rPr>
        <w:t>We rely on multiple CROs to mitigate potential impacts that may affect any one of our CROs. However, CDMOs and other contractors and consultants could be subject to adverse legislation or administrative restrictions, earthquakes, power shortages, telecommunications failures, water shortages, floods, hurricanes, typhoons, fires, extreme weather conditions, pandemics and other natural or man- 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83"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454546"/>
        </w:rPr>
        <w:t>Our use of artificial intelligence and machine learning exposes us to operational, regulatory, legal, and ethical risks that could adversely affect our business, reputation, financial condition, and results of operations.</w:t>
      </w:r>
    </w:p>
    <w:p>
      <w:pPr>
        <w:spacing w:after="0" w:line="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454546"/>
        </w:rPr>
        <w:t>We procure and deploy certain AI and machine learning technologies across our operations. For example, we use AI systems such as AlphaFold and ColabFold, to predict protein structures where experimentally solved crystal structures are not available in the Protein Data Bank. While these tools may create efficiencies, they also introduce risks related to data quality, transparency, model reliability, cybersecurity, intellectual property, privacy, discrimination, liability, and vendor/supply chain dependencies. Errors or bias in AI outputs, inadequate monitoring, or insufficient documentation could impair clinical development, manufacturing quality, or commercial activities, resulting in delays, higher costs or reputational harm. Additionally, the emergence of AI and other technologies may contribute to other risks, including those related to regulation, litigation, compliance issues, ethical concerns, confidentiality, and data privacy or security. For example, regulatory uncertainty related to AI or other emerging technologies may require additional resources to adjust business practices to comply with developing laws.</w:t>
      </w:r>
    </w:p>
    <w:p>
      <w:pPr>
        <w:sectPr>
          <w:pgSz w:w="11880" w:h="15480" w:orient="portrait"/>
          <w:cols w:equalWidth="0" w:num="1">
            <w:col w:w="10260"/>
          </w:cols>
          <w:pgMar w:left="820" w:top="5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47</w:t>
      </w:r>
    </w:p>
    <w:p>
      <w:pPr>
        <w:sectPr>
          <w:pgSz w:w="11880" w:h="15480" w:orient="portrait"/>
          <w:cols w:equalWidth="0" w:num="1">
            <w:col w:w="10260"/>
          </w:cols>
          <w:pgMar w:left="820" w:top="504" w:right="8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454546"/>
        </w:rPr>
        <w:t>Risks Related to Our Intellectual Property</w:t>
      </w:r>
    </w:p>
    <w:p>
      <w:pPr>
        <w:spacing w:after="0" w:line="25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454546"/>
        </w:rPr>
        <w:t>If we are unable to adequately protect our proprietary technology and platform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develop and commercialize our technology and products may be impaired.</w:t>
      </w:r>
    </w:p>
    <w:p>
      <w:pPr>
        <w:spacing w:after="0" w:line="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454546"/>
        </w:rPr>
        <w:t>Our commercial success will depend in part on our ability and the ability of our licensors to obtain and maintain proprietary or intellectual property protection in the United States and other countries for our product candidates, and our core technologies, including aspects of our Gene Traffic Control platform. We rely on trade secrets, know-how and continuing technological innovation to develop and maintain our proprietary and intellectual property position. In particular, our Gene Traffic Control platform is not the subject of patent applications.</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We seek to protect our proprietary product candidates by filing patent applications in the United States and abroad related to our product candidates that are important to our business. If we or our licensors are unable to obtain or maintain patent protection with respect to our current and future product candidates, competitors and other third parties could develop and commercialize products similar or identical to ours, and our ability to successfully commercialize our product candidates and other product candidates that we may pursue may be impaired. As a result, our business, financial condition, results of operations and prospects could be materially harmed.</w:t>
      </w:r>
    </w:p>
    <w:p>
      <w:pPr>
        <w:spacing w:after="0" w:line="18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454546"/>
        </w:rPr>
        <w:t>Currently, our patent portfolio primarily consists of provisional patent applications and patent applications filed pursuant to the Patent Cooperation Treaty (the “PCT”), both of which do not themselves issue as patents. We have one issued U.S. patent related to FHD-909. In order to continue to pursue protection based on provisional patent applications, we will need to file PCT, foreign applications and/or U.S. non-provisional patent applications prior to applicable deadlines. In order to continue to pursue protection based on PCT applications, we will need to file national phase applications in the U.S. and ex-U.S. jurisdictions prior to applicable deadlines. Even then, patents may never issue from our patent applications, or the scope of any patent may not be sufficient to provide a competitive advantage.</w:t>
      </w:r>
    </w:p>
    <w:p>
      <w:pPr>
        <w:spacing w:after="0" w:line="7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454546"/>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FHD-909 or our other current or future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products similar or identical to our product candidates, including generic versions of such products.</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in either case that they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p>
    <w:p>
      <w:pPr>
        <w:spacing w:after="0" w:line="8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454546"/>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(the “USPTO”) have been significantly narrowed by the time they issue, if at all. It is also possible that we will fail to identify patentable aspects of our research and development output before it is too late to obtain patent protection.</w:t>
      </w:r>
    </w:p>
    <w:p>
      <w:pPr>
        <w:spacing w:after="0" w:line="8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color w:val="454546"/>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w:t>
      </w:r>
    </w:p>
    <w:p>
      <w:pPr>
        <w:sectPr>
          <w:pgSz w:w="11880" w:h="15480" w:orient="portrait"/>
          <w:cols w:equalWidth="0" w:num="1">
            <w:col w:w="10240"/>
          </w:cols>
          <w:pgMar w:left="820" w:top="500" w:right="82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48</w:t>
      </w:r>
    </w:p>
    <w:p>
      <w:pPr>
        <w:sectPr>
          <w:pgSz w:w="11880" w:h="15480" w:orient="portrait"/>
          <w:cols w:equalWidth="0" w:num="1">
            <w:col w:w="10240"/>
          </w:cols>
          <w:pgMar w:left="820" w:top="500" w:right="820" w:bottom="0" w:gutter="0" w:footer="0" w:header="0"/>
          <w:type w:val="continuous"/>
        </w:sectPr>
      </w:pPr>
    </w:p>
    <w:bookmarkStart w:id="50" w:name="page51"/>
    <w:bookmarkEnd w:id="50"/>
    <w:p>
      <w:pPr>
        <w:ind w:right="100"/>
        <w:spacing w:after="0" w:line="255" w:lineRule="auto"/>
        <w:rPr>
          <w:sz w:val="20"/>
          <w:szCs w:val="20"/>
          <w:color w:val="auto"/>
        </w:rPr>
      </w:pPr>
      <w:r>
        <w:rPr>
          <w:rFonts w:ascii="Times New Roman" w:cs="Times New Roman" w:eastAsia="Times New Roman" w:hAnsi="Times New Roman"/>
          <w:sz w:val="20"/>
          <w:szCs w:val="20"/>
          <w:color w:val="454546"/>
        </w:rPr>
        <w:t xml:space="preserve">patents, which submissions may also be made prior to a patent’s issuance, precluding the granting of any of our pending patent applications. We may become involved in opposition, derivation, reexamination, </w:t>
      </w:r>
      <w:r>
        <w:rPr>
          <w:rFonts w:ascii="Times New Roman" w:cs="Times New Roman" w:eastAsia="Times New Roman" w:hAnsi="Times New Roman"/>
          <w:sz w:val="20"/>
          <w:szCs w:val="20"/>
          <w:i w:val="1"/>
          <w:iCs w:val="1"/>
          <w:color w:val="454546"/>
        </w:rPr>
        <w:t>inter partes</w:t>
      </w:r>
      <w:r>
        <w:rPr>
          <w:rFonts w:ascii="Times New Roman" w:cs="Times New Roman" w:eastAsia="Times New Roman" w:hAnsi="Times New Roman"/>
          <w:sz w:val="20"/>
          <w:szCs w:val="20"/>
          <w:color w:val="454546"/>
        </w:rPr>
        <w:t xml:space="preserve">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454546"/>
        </w:rPr>
        <w:t>In addition, we may in the future be subject to claims by our former employees or consultants asserting an ownership right in our patent applications or technologies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454546"/>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454546"/>
        </w:rPr>
        <w:t>Even if our patent portfolio is unchallenged, it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If we are unable to protect the confidentiality of our trade secrets, our business and competitive position may be harmed.</w:t>
      </w:r>
    </w:p>
    <w:p>
      <w:pPr>
        <w:spacing w:after="0" w:line="130" w:lineRule="exact"/>
        <w:rPr>
          <w:sz w:val="20"/>
          <w:szCs w:val="20"/>
          <w:color w:val="auto"/>
        </w:rPr>
      </w:pPr>
    </w:p>
    <w:p>
      <w:pPr>
        <w:ind w:right="80" w:firstLine="1"/>
        <w:spacing w:after="0" w:line="252" w:lineRule="auto"/>
        <w:rPr>
          <w:sz w:val="20"/>
          <w:szCs w:val="20"/>
          <w:color w:val="auto"/>
        </w:rPr>
      </w:pPr>
      <w:r>
        <w:rPr>
          <w:rFonts w:ascii="Times New Roman" w:cs="Times New Roman" w:eastAsia="Times New Roman" w:hAnsi="Times New Roman"/>
          <w:sz w:val="20"/>
          <w:szCs w:val="20"/>
          <w:color w:val="454546"/>
        </w:rPr>
        <w:t>In addition to the protection afforded by patents, we rely upon unpatented trade secret protection, unpatented know-how and continuing technological innovation to develop and maintain our competitive position. With respect to the various aspects of our Gene Traffic Control platform, including our proprietary libraries,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We also seek to preserve the integrity and confidentiality of our confidential proprietary information by maintaining physical security on our premises, and physical and electronic security of our information technology systems, but it is possible that these security measures could be breached.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454546"/>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49</w:t>
      </w:r>
    </w:p>
    <w:p>
      <w:pPr>
        <w:sectPr>
          <w:pgSz w:w="11880" w:h="15480" w:orient="portrait"/>
          <w:cols w:equalWidth="0" w:num="1">
            <w:col w:w="10240"/>
          </w:cols>
          <w:pgMar w:left="820" w:top="504" w:right="820" w:bottom="0" w:gutter="0" w:footer="0" w:header="0"/>
          <w:type w:val="continuous"/>
        </w:sectPr>
      </w:pPr>
    </w:p>
    <w:bookmarkStart w:id="51" w:name="page52"/>
    <w:bookmarkEnd w:id="51"/>
    <w:p>
      <w:pPr>
        <w:ind w:right="22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454546"/>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spacing w:after="0" w:line="1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The intellectual property landscape around our technology, including our Gene Traffic Control platform, is highly dynamic, and third parties may obtain intellectual property rights that could affect our ability to use our platform or otherwise develop and commercialize product candidates.</w:t>
      </w:r>
    </w:p>
    <w:p>
      <w:pPr>
        <w:spacing w:after="0" w:line="6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454546"/>
        </w:rPr>
        <w:t>The field of protein modeling, especially in the area of targeting transcription factors, is still in its infancy. Due to the intense research and development that is taking place by several companies, including us and our competitors, in this field,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As the biotechnology and pharmaceutical industries expand and more patents are issued, the risk increases that our Gene Traffic Control platform and related technology and product candidates may give rise to claims of infringement of the patent rights of others. Moreover, it is not always clear to industry participants, including us, which patents cover various types of therapies, products or their methods of use or manufacture. There may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We may be unable to obtain a license to such patents held by third-parties on commercially reasonable terms or at all. In the event that we are unable to obtain licenses to such patents, our ability to develop and commercialize one or more product candidates may become severely limited. Even if we were able to obtain such a license, it could be granted on non-exclusive terms, thereby providing our competitors and other third parties access to the same technologies licensed to us.</w:t>
      </w:r>
    </w:p>
    <w:p>
      <w:pPr>
        <w:spacing w:after="0" w:line="204"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We may initiate or become involved in legal proceedings involving allegations that we are infringing a third party’s intellectual property rights, the outcome of which would be uncertain and could have a material adverse effect on the success of our business.</w:t>
      </w:r>
    </w:p>
    <w:p>
      <w:pPr>
        <w:spacing w:after="0" w:line="67"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20"/>
          <w:szCs w:val="20"/>
          <w:color w:val="454546"/>
        </w:rPr>
        <w:t>Our commercial success depends in part upon our ability and the ability of our collaborators to develop, manufacture and sell our product candidates and use our proprietary technologies without infringing the propriety rights and intellectual property of third parties.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 patent portfolio may thus have no deterrent effect.</w:t>
      </w:r>
    </w:p>
    <w:p>
      <w:pPr>
        <w:spacing w:after="0" w:line="8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454546"/>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w:t>
      </w:r>
    </w:p>
    <w:p>
      <w:pPr>
        <w:sectPr>
          <w:pgSz w:w="11880" w:h="15480" w:orient="portrait"/>
          <w:cols w:equalWidth="0" w:num="1">
            <w:col w:w="10240"/>
          </w:cols>
          <w:pgMar w:left="820" w:top="504" w:right="820" w:bottom="0"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50</w:t>
      </w:r>
    </w:p>
    <w:p>
      <w:pPr>
        <w:sectPr>
          <w:pgSz w:w="11880" w:h="15480" w:orient="portrait"/>
          <w:cols w:equalWidth="0" w:num="1">
            <w:col w:w="10240"/>
          </w:cols>
          <w:pgMar w:left="820" w:top="504" w:right="820" w:bottom="0" w:gutter="0" w:footer="0" w:header="0"/>
          <w:type w:val="continuous"/>
        </w:sectPr>
      </w:pPr>
    </w:p>
    <w:bookmarkStart w:id="52" w:name="page53"/>
    <w:bookmarkEnd w:id="52"/>
    <w:p>
      <w:pPr>
        <w:ind w:right="20"/>
        <w:spacing w:after="0" w:line="255" w:lineRule="auto"/>
        <w:rPr>
          <w:sz w:val="20"/>
          <w:szCs w:val="20"/>
          <w:color w:val="auto"/>
        </w:rPr>
      </w:pPr>
      <w:r>
        <w:rPr>
          <w:rFonts w:ascii="Times New Roman" w:cs="Times New Roman" w:eastAsia="Times New Roman" w:hAnsi="Times New Roman"/>
          <w:sz w:val="20"/>
          <w:szCs w:val="20"/>
          <w:color w:val="454546"/>
        </w:rPr>
        <w:t>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p>
    <w:p>
      <w:pPr>
        <w:spacing w:after="0" w:line="205" w:lineRule="exact"/>
        <w:rPr>
          <w:sz w:val="20"/>
          <w:szCs w:val="20"/>
          <w:color w:val="auto"/>
        </w:rPr>
      </w:pPr>
    </w:p>
    <w:p>
      <w:pPr>
        <w:ind w:right="280"/>
        <w:spacing w:after="0" w:line="315" w:lineRule="auto"/>
        <w:rPr>
          <w:sz w:val="20"/>
          <w:szCs w:val="20"/>
          <w:color w:val="auto"/>
        </w:rPr>
      </w:pPr>
      <w:r>
        <w:rPr>
          <w:rFonts w:ascii="Times New Roman" w:cs="Times New Roman" w:eastAsia="Times New Roman" w:hAnsi="Times New Roman"/>
          <w:sz w:val="19"/>
          <w:szCs w:val="19"/>
          <w:b w:val="1"/>
          <w:bCs w:val="1"/>
          <w:i w:val="1"/>
          <w:iCs w:val="1"/>
          <w:color w:val="454546"/>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454546"/>
        </w:rPr>
        <w:t>We could in the future also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p>
    <w:p>
      <w:pPr>
        <w:spacing w:after="0" w:line="21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may become involved in lawsuits to protect or enforce our patents and other intellectual property rights, which could be expensive, time-consuming and unsuccessful.</w:t>
      </w:r>
    </w:p>
    <w:p>
      <w:pPr>
        <w:spacing w:after="0" w:line="5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454546"/>
        </w:rPr>
        <w:t>Competitors and other third parties may infringe, misappropriate or otherwise violate our patents, if obtained,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w:t>
      </w:r>
    </w:p>
    <w:p>
      <w:pPr>
        <w:spacing w:after="0" w:line="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0"/>
          <w:szCs w:val="20"/>
          <w:color w:val="454546"/>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p>
    <w:p>
      <w:pPr>
        <w:spacing w:after="0" w:line="19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Intellectual property litigation could cause us to spend substantial resources and distract our personnel from their normal responsibilities.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81" w:lineRule="exact"/>
        <w:rPr>
          <w:sz w:val="20"/>
          <w:szCs w:val="20"/>
          <w:color w:val="auto"/>
        </w:rPr>
      </w:pPr>
    </w:p>
    <w:p>
      <w:pPr>
        <w:ind w:right="400"/>
        <w:spacing w:after="0" w:line="315" w:lineRule="auto"/>
        <w:rPr>
          <w:sz w:val="20"/>
          <w:szCs w:val="20"/>
          <w:color w:val="auto"/>
        </w:rPr>
      </w:pPr>
      <w:r>
        <w:rPr>
          <w:rFonts w:ascii="Times New Roman" w:cs="Times New Roman" w:eastAsia="Times New Roman" w:hAnsi="Times New Roman"/>
          <w:sz w:val="19"/>
          <w:szCs w:val="19"/>
          <w:color w:val="454546"/>
        </w:rPr>
        <w:t>We may not have sufficient financial or other resources to adequately conduct such litigation or proceedings. Some of our competitors may be able to sustain the costs of such litigation or proceedings more effectively than we can because of their</w:t>
      </w:r>
    </w:p>
    <w:p>
      <w:pPr>
        <w:sectPr>
          <w:pgSz w:w="11880" w:h="15480" w:orient="portrait"/>
          <w:cols w:equalWidth="0" w:num="1">
            <w:col w:w="10240"/>
          </w:cols>
          <w:pgMar w:left="820" w:top="504" w:right="82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51</w:t>
      </w:r>
    </w:p>
    <w:p>
      <w:pPr>
        <w:sectPr>
          <w:pgSz w:w="11880" w:h="15480" w:orient="portrait"/>
          <w:cols w:equalWidth="0" w:num="1">
            <w:col w:w="10240"/>
          </w:cols>
          <w:pgMar w:left="820" w:top="504" w:right="820" w:bottom="0" w:gutter="0" w:footer="0" w:header="0"/>
          <w:type w:val="continuous"/>
        </w:sectPr>
      </w:pPr>
    </w:p>
    <w:bookmarkStart w:id="53" w:name="page54"/>
    <w:bookmarkEnd w:id="53"/>
    <w:p>
      <w:pPr>
        <w:ind w:right="100"/>
        <w:spacing w:after="0" w:line="259" w:lineRule="auto"/>
        <w:rPr>
          <w:sz w:val="20"/>
          <w:szCs w:val="20"/>
          <w:color w:val="auto"/>
        </w:rPr>
      </w:pPr>
      <w:r>
        <w:rPr>
          <w:rFonts w:ascii="Times New Roman" w:cs="Times New Roman" w:eastAsia="Times New Roman" w:hAnsi="Times New Roman"/>
          <w:sz w:val="20"/>
          <w:szCs w:val="20"/>
          <w:color w:val="454546"/>
        </w:rPr>
        <w:t>greater financial resources and more mature and developed intellectual property portfolios. Accordingly, despite our efforts, we may not be able to prevent third parties from infringing upon or misappropriating or from successfully challenging our intellectual property rights, or we may be unable to successfully defend ourselves from allegations of infringement or misappropriation. Uncertainties resulting from the initiation and continuation of patent litigation or other proceedings could have a material adverse effect on our ability to compete in the marketplace.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We may not be able to effectively enforce our intellectual property rights throughout the world.</w:t>
      </w:r>
    </w:p>
    <w:p>
      <w:pPr>
        <w:spacing w:after="0" w:line="1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454546"/>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8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454546"/>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p>
    <w:p>
      <w:pPr>
        <w:spacing w:after="0" w:line="19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may be subject to claims challenging the inventorship or ownership of any intellectual property, including any patents we may own or in-license in the future.</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We may be subject to claims that former employees, collaborators or other third parties have an interest in any patents we may own or in-license in the future, trade secrets, or other intellectual property as an inventor or co-inventor.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an inventorship dispute, such dispute may lead to litigation which could be expensive and time-consuming. If we are unsuccessful, in addition to paying monetary damages, we could lose valuable rights in intellectual property that we regard as our own, such as exclusive ownership of, or right to use, intellectual property that is important to our product candidates and our Gene Traffic Control platform.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If we do not obtain patent term extension and data exclusivity for any product candidates we may develop, our business may be materially harmed.</w:t>
      </w:r>
    </w:p>
    <w:p>
      <w:pPr>
        <w:spacing w:after="0" w:line="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454546"/>
        </w:rPr>
        <w:t>Depending upon the timing, duration and specifics of any FDA marketing approval of any product candidates we may develop, one or more of our U.S. patents, if obtained,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w:t>
      </w:r>
    </w:p>
    <w:p>
      <w:pPr>
        <w:sectPr>
          <w:pgSz w:w="11880" w:h="15480" w:orient="portrait"/>
          <w:cols w:equalWidth="0" w:num="1">
            <w:col w:w="10260"/>
          </w:cols>
          <w:pgMar w:left="820" w:top="504" w:right="800" w:bottom="0" w:gutter="0" w:footer="0" w:header="0"/>
        </w:sect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52</w:t>
      </w:r>
    </w:p>
    <w:p>
      <w:pPr>
        <w:sectPr>
          <w:pgSz w:w="11880" w:h="15480" w:orient="portrait"/>
          <w:cols w:equalWidth="0" w:num="1">
            <w:col w:w="10260"/>
          </w:cols>
          <w:pgMar w:left="820" w:top="504" w:right="800" w:bottom="0" w:gutter="0" w:footer="0" w:header="0"/>
          <w:type w:val="continuous"/>
        </w:sectPr>
      </w:pPr>
    </w:p>
    <w:bookmarkStart w:id="54" w:name="page55"/>
    <w:bookmarkEnd w:id="54"/>
    <w:p>
      <w:pPr>
        <w:ind w:left="20" w:right="160"/>
        <w:spacing w:after="0" w:line="269" w:lineRule="auto"/>
        <w:rPr>
          <w:sz w:val="20"/>
          <w:szCs w:val="20"/>
          <w:color w:val="auto"/>
        </w:rPr>
      </w:pPr>
      <w:r>
        <w:rPr>
          <w:rFonts w:ascii="Times New Roman" w:cs="Times New Roman" w:eastAsia="Times New Roman" w:hAnsi="Times New Roman"/>
          <w:sz w:val="20"/>
          <w:szCs w:val="20"/>
          <w:color w:val="454546"/>
        </w:rPr>
        <w:t>time period or the scope of patent protection afforded could be less than we request. If we are unable to obtain patent term extension or the term of any such extension is less than we request, our business, financial condition, results of operations and prospects could be materially harmed.</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454546"/>
        </w:rPr>
        <w:t>Intellectual property rights do not necessarily address all potential threats.</w:t>
      </w:r>
    </w:p>
    <w:p>
      <w:pPr>
        <w:spacing w:after="0" w:line="130" w:lineRule="exact"/>
        <w:rPr>
          <w:sz w:val="20"/>
          <w:szCs w:val="20"/>
          <w:color w:val="auto"/>
        </w:rPr>
      </w:pPr>
    </w:p>
    <w:p>
      <w:pPr>
        <w:ind w:left="20" w:right="20"/>
        <w:spacing w:after="0" w:line="287" w:lineRule="auto"/>
        <w:rPr>
          <w:sz w:val="20"/>
          <w:szCs w:val="20"/>
          <w:color w:val="auto"/>
        </w:rPr>
      </w:pPr>
      <w:r>
        <w:rPr>
          <w:rFonts w:ascii="Times New Roman" w:cs="Times New Roman" w:eastAsia="Times New Roman" w:hAnsi="Times New Roman"/>
          <w:sz w:val="20"/>
          <w:szCs w:val="20"/>
          <w:color w:val="454546"/>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1100" w:right="40" w:hanging="549"/>
        <w:spacing w:after="0" w:line="269" w:lineRule="auto"/>
        <w:tabs>
          <w:tab w:leader="none" w:pos="11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aspects of our Gene Traffic Control platform are protected by trade secrets, which may be inadequate to safeguard our competitive advantage, and some aspects of our platform may not be protectable by intellectual property rights at all;</w:t>
      </w:r>
    </w:p>
    <w:p>
      <w:pPr>
        <w:spacing w:after="0" w:line="66" w:lineRule="exact"/>
        <w:rPr>
          <w:rFonts w:ascii="Times New Roman" w:cs="Times New Roman" w:eastAsia="Times New Roman" w:hAnsi="Times New Roman"/>
          <w:sz w:val="20"/>
          <w:szCs w:val="20"/>
          <w:color w:val="454546"/>
        </w:rPr>
      </w:pPr>
    </w:p>
    <w:p>
      <w:pPr>
        <w:ind w:left="1100" w:right="300" w:hanging="549"/>
        <w:spacing w:after="0" w:line="287" w:lineRule="auto"/>
        <w:tabs>
          <w:tab w:leader="none" w:pos="11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others may be able to make products that are similar to our product candidates or utilize similar technology but that are not covered by the claims of any patents that may issue to us, our licensors or our collaborator;</w:t>
      </w:r>
    </w:p>
    <w:p>
      <w:pPr>
        <w:spacing w:after="0" w:line="49" w:lineRule="exact"/>
        <w:rPr>
          <w:rFonts w:ascii="Times New Roman" w:cs="Times New Roman" w:eastAsia="Times New Roman" w:hAnsi="Times New Roman"/>
          <w:sz w:val="20"/>
          <w:szCs w:val="20"/>
          <w:color w:val="454546"/>
        </w:rPr>
      </w:pPr>
    </w:p>
    <w:p>
      <w:pPr>
        <w:ind w:left="1100" w:right="120" w:hanging="549"/>
        <w:spacing w:after="0" w:line="287" w:lineRule="auto"/>
        <w:tabs>
          <w:tab w:leader="none" w:pos="11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or our licensors or collaborators, might not have been the first to make the inventions covered by our pending patent applications, or any patents that may issue in the future;</w:t>
      </w:r>
    </w:p>
    <w:p>
      <w:pPr>
        <w:spacing w:after="0" w:line="49" w:lineRule="exact"/>
        <w:rPr>
          <w:rFonts w:ascii="Times New Roman" w:cs="Times New Roman" w:eastAsia="Times New Roman" w:hAnsi="Times New Roman"/>
          <w:sz w:val="20"/>
          <w:szCs w:val="20"/>
          <w:color w:val="454546"/>
        </w:rPr>
      </w:pPr>
    </w:p>
    <w:p>
      <w:pPr>
        <w:ind w:left="1100" w:right="300" w:hanging="549"/>
        <w:spacing w:after="0" w:line="287" w:lineRule="auto"/>
        <w:tabs>
          <w:tab w:leader="none" w:pos="11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or our licensors or collaborators, might not have been the first to file patent applications covering certain of our or their inventions;</w:t>
      </w:r>
    </w:p>
    <w:p>
      <w:pPr>
        <w:spacing w:after="0" w:line="49" w:lineRule="exact"/>
        <w:rPr>
          <w:rFonts w:ascii="Times New Roman" w:cs="Times New Roman" w:eastAsia="Times New Roman" w:hAnsi="Times New Roman"/>
          <w:sz w:val="20"/>
          <w:szCs w:val="20"/>
          <w:color w:val="454546"/>
        </w:rPr>
      </w:pPr>
    </w:p>
    <w:p>
      <w:pPr>
        <w:ind w:left="1100" w:right="40" w:hanging="550"/>
        <w:spacing w:after="0" w:line="287" w:lineRule="auto"/>
        <w:tabs>
          <w:tab w:leader="none" w:pos="11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others may independently develop similar or alternative technologies or duplicate any of our technologies without infringing or misappropriating our intellectual property rights;</w:t>
      </w:r>
    </w:p>
    <w:p>
      <w:pPr>
        <w:spacing w:after="0" w:line="4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it is possible that our present or future pending patent applications will not lead to issued patents;</w:t>
      </w:r>
    </w:p>
    <w:p>
      <w:pPr>
        <w:spacing w:after="0" w:line="129" w:lineRule="exact"/>
        <w:rPr>
          <w:rFonts w:ascii="Times New Roman" w:cs="Times New Roman" w:eastAsia="Times New Roman" w:hAnsi="Times New Roman"/>
          <w:sz w:val="20"/>
          <w:szCs w:val="20"/>
          <w:color w:val="454546"/>
        </w:rPr>
      </w:pPr>
    </w:p>
    <w:p>
      <w:pPr>
        <w:ind w:left="1080" w:right="20" w:hanging="530"/>
        <w:spacing w:after="0" w:line="287" w:lineRule="auto"/>
        <w:tabs>
          <w:tab w:leader="none" w:pos="108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issued patents that we hold rights to may be held invalid or unenforceable, including as a result of legal challenges by our competitors or other third parties;</w:t>
      </w:r>
    </w:p>
    <w:p>
      <w:pPr>
        <w:spacing w:after="0" w:line="49" w:lineRule="exact"/>
        <w:rPr>
          <w:rFonts w:ascii="Times New Roman" w:cs="Times New Roman" w:eastAsia="Times New Roman" w:hAnsi="Times New Roman"/>
          <w:sz w:val="20"/>
          <w:szCs w:val="20"/>
          <w:color w:val="454546"/>
        </w:rPr>
      </w:pPr>
    </w:p>
    <w:p>
      <w:pPr>
        <w:ind w:left="1080" w:right="40" w:hanging="530"/>
        <w:spacing w:after="0" w:line="269" w:lineRule="auto"/>
        <w:tabs>
          <w:tab w:leader="none" w:pos="108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6" w:lineRule="exact"/>
        <w:rPr>
          <w:rFonts w:ascii="Times New Roman" w:cs="Times New Roman" w:eastAsia="Times New Roman" w:hAnsi="Times New Roman"/>
          <w:sz w:val="20"/>
          <w:szCs w:val="20"/>
          <w:color w:val="454546"/>
        </w:rPr>
      </w:pPr>
    </w:p>
    <w:p>
      <w:pPr>
        <w:ind w:left="1080" w:right="620" w:hanging="530"/>
        <w:spacing w:after="0" w:line="287" w:lineRule="auto"/>
        <w:tabs>
          <w:tab w:leader="none" w:pos="108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changes to the patent law in the United States and other jurisdictions could diminish the value of patents in general, thereby impairing our ability to protect our product candidates;</w:t>
      </w:r>
    </w:p>
    <w:p>
      <w:pPr>
        <w:spacing w:after="0" w:line="4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patents of others may harm our business; and</w:t>
      </w:r>
    </w:p>
    <w:p>
      <w:pPr>
        <w:spacing w:after="0" w:line="129" w:lineRule="exact"/>
        <w:rPr>
          <w:rFonts w:ascii="Times New Roman" w:cs="Times New Roman" w:eastAsia="Times New Roman" w:hAnsi="Times New Roman"/>
          <w:sz w:val="20"/>
          <w:szCs w:val="20"/>
          <w:color w:val="454546"/>
        </w:rPr>
      </w:pPr>
    </w:p>
    <w:p>
      <w:pPr>
        <w:ind w:left="1080" w:right="160" w:hanging="530"/>
        <w:spacing w:after="0" w:line="287" w:lineRule="auto"/>
        <w:tabs>
          <w:tab w:leader="none" w:pos="1080" w:val="left"/>
        </w:tabs>
        <w:numPr>
          <w:ilvl w:val="0"/>
          <w:numId w:val="2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may choose not to file a patent application in order to maintain certain trade secrets or know-how, and a third party may subsequently file a patent covering such intellectual property.</w:t>
      </w:r>
    </w:p>
    <w:p>
      <w:pPr>
        <w:spacing w:after="0" w:line="50"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color w:val="454546"/>
        </w:rPr>
        <w:t>Should any of these events occur, they could have a material adverse effect on our business, financial condition, results of operations and prospects.</w:t>
      </w:r>
    </w:p>
    <w:p>
      <w:pPr>
        <w:spacing w:after="0" w:line="17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Changes to the patent law in the United States and other jurisdictions could diminish the value of patents in general, thereby impairing our ability to protect our product candidates.</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9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color w:val="454546"/>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w:t>
      </w:r>
    </w:p>
    <w:p>
      <w:pPr>
        <w:sectPr>
          <w:pgSz w:w="11880" w:h="15480" w:orient="portrait"/>
          <w:cols w:equalWidth="0" w:num="1">
            <w:col w:w="10260"/>
          </w:cols>
          <w:pgMar w:left="800" w:top="504" w:right="820"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53</w:t>
      </w:r>
    </w:p>
    <w:p>
      <w:pPr>
        <w:sectPr>
          <w:pgSz w:w="11880" w:h="15480" w:orient="portrait"/>
          <w:cols w:equalWidth="0" w:num="1">
            <w:col w:w="10260"/>
          </w:cols>
          <w:pgMar w:left="800" w:top="504" w:right="820" w:bottom="0" w:gutter="0" w:footer="0" w:header="0"/>
          <w:type w:val="continuous"/>
        </w:sectPr>
      </w:pPr>
    </w:p>
    <w:bookmarkStart w:id="55" w:name="page56"/>
    <w:bookmarkEnd w:id="55"/>
    <w:p>
      <w:pPr>
        <w:ind w:right="520"/>
        <w:spacing w:after="0" w:line="287" w:lineRule="auto"/>
        <w:rPr>
          <w:sz w:val="20"/>
          <w:szCs w:val="20"/>
          <w:color w:val="auto"/>
        </w:rPr>
      </w:pPr>
      <w:r>
        <w:rPr>
          <w:rFonts w:ascii="Times New Roman" w:cs="Times New Roman" w:eastAsia="Times New Roman" w:hAnsi="Times New Roman"/>
          <w:sz w:val="20"/>
          <w:szCs w:val="20"/>
          <w:color w:val="454546"/>
        </w:rPr>
        <w:t>in other countries, the laws and regulations governing patents could change in unpredictable ways that would weaken our ability to obtain new patents or to enforce any patents that we may obtain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Our Reliance on Third Parties</w:t>
      </w:r>
    </w:p>
    <w:p>
      <w:pPr>
        <w:spacing w:after="0" w:line="25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454546"/>
        </w:rPr>
        <w:t>We rely, and expect to continue to rely, on third parties, including independent clinical investigators, CROs and CDMOs to conduct certain aspects of our discovery and pre-clinical studies and development,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454546"/>
        </w:rPr>
        <w:t>We have relied upon and plan to continue to rely upon third parties, including independent clinical investigators and third-party CROs and CDMOs, as well as potential collaboration partners to conduct certain aspects of our discovery, pre-clinical studies and development and clinical trials and to monitor and manage data for our ongoing preclinical and clinical programs. We rely on these parties for execution of our preclinical studies and planned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CROs and CDMOs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these third parties, our CROs or our CDMOs fail to comply with applicable GCPs, the clinical data generated in our clinical trials may be deemed unreliable and the FDA or comparable foreign regulatory authorities may require us to perform additional clinical trials before approving our marketing applications. Moreover, our business may be adversely affected if any of these third parties violates federal or state fraud and abuse or false claims laws and regulations or healthcare privacy and security laws.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Further, these investigators, CROs and CDMOs are not our employees and we are not able to control, other than by contract, the amount of resources, including time, which they devote to our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CROs and CDMOs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454546"/>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color w:val="454546"/>
        </w:rPr>
        <w:t>In addition, certain of our CDMOs and CROs located in China may experience adverse legal and regulatory restrictions, which could adversely affect their ability to provide services to us and, thereby, harm our business.</w:t>
      </w:r>
    </w:p>
    <w:p>
      <w:pPr>
        <w:spacing w:after="0" w:line="1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454546"/>
        </w:rPr>
        <w:t>We currently rely and expect to rely in the future on the use of manufacturing suites in third-party facilities or third parties to manufacture our product candidates. Our business could be harmed if we are unable to use third-party manufacturing suites or if third-party manufacturers fail to provide us with sufficient quantities of our product candidates or fail to do so at acceptable quality levels or prices.</w:t>
      </w:r>
    </w:p>
    <w:p>
      <w:pPr>
        <w:spacing w:after="0" w:line="7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color w:val="454546"/>
        </w:rPr>
        <w:t>We do not currently own any facility that may be used as our clinical-scale manufacturing and processing facility and instead must currently rely on outside vendors to manufacture our product candidates in clinical quantities.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Our reliance on third parties for clinical quantities exposes us to a number of risks, including:</w:t>
      </w:r>
    </w:p>
    <w:p>
      <w:pPr>
        <w:spacing w:after="0" w:line="130" w:lineRule="exact"/>
        <w:rPr>
          <w:sz w:val="20"/>
          <w:szCs w:val="20"/>
          <w:color w:val="auto"/>
        </w:rPr>
      </w:pPr>
    </w:p>
    <w:p>
      <w:pPr>
        <w:ind w:left="1080" w:right="540" w:hanging="549"/>
        <w:spacing w:after="0" w:line="287" w:lineRule="auto"/>
        <w:tabs>
          <w:tab w:leader="none" w:pos="1080" w:val="left"/>
        </w:tabs>
        <w:numPr>
          <w:ilvl w:val="0"/>
          <w:numId w:val="2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third-party manufacturers might be unable to timely manufacture our product candidates or produce the quantity and quality required to meet our clinical and commercial needs, if any;</w:t>
      </w:r>
    </w:p>
    <w:p>
      <w:pPr>
        <w:sectPr>
          <w:pgSz w:w="11880" w:h="15480" w:orient="portrait"/>
          <w:cols w:equalWidth="0" w:num="1">
            <w:col w:w="10220"/>
          </w:cols>
          <w:pgMar w:left="820" w:top="504" w:right="840"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54</w:t>
      </w:r>
    </w:p>
    <w:p>
      <w:pPr>
        <w:sectPr>
          <w:pgSz w:w="11880" w:h="15480" w:orient="portrait"/>
          <w:cols w:equalWidth="0" w:num="1">
            <w:col w:w="10220"/>
          </w:cols>
          <w:pgMar w:left="820" w:top="504" w:right="840" w:bottom="0" w:gutter="0" w:footer="0" w:header="0"/>
          <w:type w:val="continuous"/>
        </w:sectPr>
      </w:pPr>
    </w:p>
    <w:bookmarkStart w:id="56" w:name="page57"/>
    <w:bookmarkEnd w:id="56"/>
    <w:p>
      <w:pPr>
        <w:ind w:left="1080" w:right="440" w:hanging="549"/>
        <w:spacing w:after="0" w:line="287" w:lineRule="auto"/>
        <w:tabs>
          <w:tab w:leader="none" w:pos="1080" w:val="left"/>
        </w:tabs>
        <w:numPr>
          <w:ilvl w:val="0"/>
          <w:numId w:val="2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contract manufacturers may not be able to execute our manufacturing procedures and other logistical support requirements appropriately and in compliance with cGMP; and</w:t>
      </w:r>
    </w:p>
    <w:p>
      <w:pPr>
        <w:spacing w:after="0" w:line="4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our third-party manufacturers could breach or terminate their agreements with us.</w:t>
      </w:r>
    </w:p>
    <w:p>
      <w:pPr>
        <w:spacing w:after="0" w:line="1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454546"/>
        </w:rPr>
        <w:t>Each of these risks could delay or prevent the completion of our clinical trials or the approval of any of our product candidates by the FDA or result in higher costs.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99"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If our third-party manufacturers use hazardous and biological materials in a manner that causes injury or violates applicable law, we may be liable for damages.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Our research and development activities involve the controlled use of potentially hazardous substances, including chemical and biological materials, by our third-party manufacturers. Our manufacturers are subject to numerous environmental, health and safety laws and regulations, including those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Our business is exposed to risks from operating with third parties, particularly those outside the United States.</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There is currently significant uncertainty about the future relationship between the U.S. and various other countries, including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passed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could be materially and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Risks Related to Regulatory and Other Legal Compliance Matters</w:t>
      </w:r>
    </w:p>
    <w:p>
      <w:pPr>
        <w:spacing w:after="0" w:line="25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Our clinical trials may fail to demonstrate adequately the safety and efficacy of any of our product candidates, which would delay or prevent further clinical development of those candidates.</w:t>
      </w:r>
    </w:p>
    <w:p>
      <w:pPr>
        <w:spacing w:after="0" w:line="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454546"/>
        </w:rPr>
        <w:t>To obtain the requisite regulatory approvals to market and sell any of our product candidates, including FHD-909, and any other future product candidates, we must demonstrate through extensive preclinical studies and clinical trials that our products are safe and effective in humans.</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w:t>
      </w:r>
    </w:p>
    <w:p>
      <w:pPr>
        <w:spacing w:after="0" w:line="85"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9"/>
          <w:szCs w:val="19"/>
          <w:color w:val="454546"/>
        </w:rPr>
        <w:t>Even if the trials are successfully completed, clinical data are often susceptible to varying interpretations and analyses, and we cannot guarantee that the FDA or other comparable foreign regulatory authorities will interpret the results as we do, and more trials could be required before we submit our product candidates for approval. We cannot guarantee that the FDA or other</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55</w:t>
      </w:r>
    </w:p>
    <w:p>
      <w:pPr>
        <w:sectPr>
          <w:pgSz w:w="11880" w:h="15480" w:orient="portrait"/>
          <w:cols w:equalWidth="0" w:num="1">
            <w:col w:w="10240"/>
          </w:cols>
          <w:pgMar w:left="820" w:top="504" w:right="820" w:bottom="0" w:gutter="0" w:footer="0" w:header="0"/>
          <w:type w:val="continuous"/>
        </w:sectPr>
      </w:pPr>
    </w:p>
    <w:bookmarkStart w:id="57" w:name="page58"/>
    <w:bookmarkEnd w:id="57"/>
    <w:p>
      <w:pPr>
        <w:ind w:right="80"/>
        <w:spacing w:after="0" w:line="255" w:lineRule="auto"/>
        <w:rPr>
          <w:sz w:val="20"/>
          <w:szCs w:val="20"/>
          <w:color w:val="auto"/>
        </w:rPr>
      </w:pPr>
      <w:r>
        <w:rPr>
          <w:rFonts w:ascii="Times New Roman" w:cs="Times New Roman" w:eastAsia="Times New Roman" w:hAnsi="Times New Roman"/>
          <w:sz w:val="20"/>
          <w:szCs w:val="20"/>
          <w:color w:val="454546"/>
        </w:rPr>
        <w:t>comparable foreign regulatory authorities will view our product candidates as having sufficient efficacy to support the indication studied in the clinical trial even if positive results are observed in early clinical trials. To the extent that the results of the trials are not satisfactory to the FDA or other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Additionally, any safety or efficacy concerns observed in any tumor-specific subgroup of our clinical trials could limit the prospects for regulatory approval of our product candidates for a tumor-agnostic indication, which could have a material adverse effect on our business, financial condition and results of operations.</w:t>
      </w:r>
    </w:p>
    <w:p>
      <w:pPr>
        <w:spacing w:after="0" w:line="20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We may in the future seek orphan drug status for our product candidates, but we may be unable to obtain such designations or to maintain the benefits associated with orphan drug status, including market exclusivity, which may cause our future revenue, if any, to be reduced.</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454546"/>
        </w:rPr>
        <w:t xml:space="preserve">If a product that has orphan drug designation subsequently receives the first FDA approval for a particular active ingredient for the disease for which it has such designation, the product is entitled to orphan drug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indication or disease. The FDA has historically taken the position that the scope of orphan exclusivity aligns with the approved indication or use of a product, rather than the disease or condition for which the product received orphan designation. However, on September 30, 2021, the U.S. Court of Appeals for the 11th Circuit issued a decision in </w:t>
      </w:r>
      <w:r>
        <w:rPr>
          <w:rFonts w:ascii="Times New Roman" w:cs="Times New Roman" w:eastAsia="Times New Roman" w:hAnsi="Times New Roman"/>
          <w:sz w:val="20"/>
          <w:szCs w:val="20"/>
          <w:i w:val="1"/>
          <w:iCs w:val="1"/>
          <w:color w:val="454546"/>
        </w:rPr>
        <w:t>Catalyst Pharms., Inc. v. Becerra</w:t>
      </w:r>
      <w:r>
        <w:rPr>
          <w:rFonts w:ascii="Times New Roman" w:cs="Times New Roman" w:eastAsia="Times New Roman" w:hAnsi="Times New Roman"/>
          <w:sz w:val="20"/>
          <w:szCs w:val="20"/>
          <w:color w:val="454546"/>
        </w:rPr>
        <w:t xml:space="preserve"> holding that the scope of orphan drug exclusivity must align with the disease or condition for which the product received orphan designation, even if the product’s approval was for a narrower use or indication. It remains to be seen how this decision affects orphan drug exclusivity going forward. The FDA announced on January 24, 2023 that despite the </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decision, it will continue to apply its longstanding regulations, which tie the scope of orphan exclusivity to the uses or indications for which the drug is approved, rather than to the designation. The FDA’s application of its orphan drug regulations post-</w:t>
      </w:r>
      <w:r>
        <w:rPr>
          <w:rFonts w:ascii="Times New Roman" w:cs="Times New Roman" w:eastAsia="Times New Roman" w:hAnsi="Times New Roman"/>
          <w:sz w:val="20"/>
          <w:szCs w:val="20"/>
          <w:i w:val="1"/>
          <w:iCs w:val="1"/>
          <w:color w:val="454546"/>
        </w:rPr>
        <w:t>Catalyst</w:t>
      </w:r>
      <w:r>
        <w:rPr>
          <w:rFonts w:ascii="Times New Roman" w:cs="Times New Roman" w:eastAsia="Times New Roman" w:hAnsi="Times New Roman"/>
          <w:sz w:val="20"/>
          <w:szCs w:val="20"/>
          <w:color w:val="454546"/>
        </w:rPr>
        <w:t xml:space="preserve"> could be the subject of future legislation or to further challenges in court, which could impact our ability to obtain or seek to work around orphan exclusivity, and might affect our ability to retain orphan exclusivity that the FDA previously has recognized for our products. Furthermore, the FDA can waive orphan drug exclusivity if we are unable to manufacture sufficient supply of our product.</w:t>
      </w:r>
    </w:p>
    <w:p>
      <w:pPr>
        <w:spacing w:after="0" w:line="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We may seek orphan drug designation for some or all of our other future product candidates, where applicable, in addition to orphan indications in which there is a medically plausible basis for the use of these products.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For example, the FDA has expressed concerns regarding the regulatory considerations for orphan drug designation as applied to tissue agnostic therapies, and the FDA may interpret the FD&amp;C Act and regulations promulgated thereunder in a way that limits or blocks our ability to obtain orphan drug designation or orphan drug exclusivity, if our product candidates are approved, for our targeted indications.</w:t>
      </w:r>
    </w:p>
    <w:p>
      <w:pPr>
        <w:spacing w:after="0" w:line="206"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9"/>
          <w:szCs w:val="19"/>
          <w:color w:val="454546"/>
        </w:rPr>
        <w:t>We may seek Breakthrough Therapy designation from the FDA for some or all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w:t>
      </w:r>
    </w:p>
    <w:p>
      <w:pPr>
        <w:sectPr>
          <w:pgSz w:w="11880" w:h="15480" w:orient="portrait"/>
          <w:cols w:equalWidth="0" w:num="1">
            <w:col w:w="10240"/>
          </w:cols>
          <w:pgMar w:left="820" w:top="504" w:right="820" w:bottom="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56</w:t>
      </w:r>
    </w:p>
    <w:p>
      <w:pPr>
        <w:sectPr>
          <w:pgSz w:w="11880" w:h="15480" w:orient="portrait"/>
          <w:cols w:equalWidth="0" w:num="1">
            <w:col w:w="10240"/>
          </w:cols>
          <w:pgMar w:left="820" w:top="504" w:right="820" w:bottom="0" w:gutter="0" w:footer="0" w:header="0"/>
          <w:type w:val="continuous"/>
        </w:sectPr>
      </w:pPr>
    </w:p>
    <w:bookmarkStart w:id="58" w:name="page59"/>
    <w:bookmarkEnd w:id="58"/>
    <w:p>
      <w:pPr>
        <w:spacing w:after="0" w:line="257" w:lineRule="auto"/>
        <w:rPr>
          <w:sz w:val="20"/>
          <w:szCs w:val="20"/>
          <w:color w:val="auto"/>
        </w:rPr>
      </w:pPr>
      <w:r>
        <w:rPr>
          <w:rFonts w:ascii="Times New Roman" w:cs="Times New Roman" w:eastAsia="Times New Roman" w:hAnsi="Times New Roman"/>
          <w:sz w:val="20"/>
          <w:szCs w:val="20"/>
          <w:color w:val="454546"/>
        </w:rPr>
        <w:t>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some or all of our future product candidates for the treatment of various cancers, there can be no assurance that we will receive breakthrough therapy designation.</w:t>
      </w:r>
    </w:p>
    <w:p>
      <w:pPr>
        <w:spacing w:after="0" w:line="20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i w:val="1"/>
          <w:iCs w:val="1"/>
          <w:color w:val="454546"/>
        </w:rPr>
        <w:t>Our current and future activities, including our relationships with healthcare providers, physicians, and third-party payors, may be subject to applicable anti-kickback, fraud and abuse, anti-bribery, transparency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454546"/>
        </w:rPr>
        <w:t>Our current and future activities, including arrangements with third-party payors and customers may expose us to broadly applicable fraud and abuse and other healthcare laws and regulations that may constrain the business or financial arrangements through which we research, market, sell, and distribute our medicines for which we obtain marketing approval. Restrictions under applicable federal and state healthcare laws and regulations include the following, some of which will not apply unless or until we have a marketed product:</w:t>
      </w:r>
    </w:p>
    <w:p>
      <w:pPr>
        <w:spacing w:after="0" w:line="79" w:lineRule="exact"/>
        <w:rPr>
          <w:sz w:val="20"/>
          <w:szCs w:val="20"/>
          <w:color w:val="auto"/>
        </w:rPr>
      </w:pPr>
    </w:p>
    <w:p>
      <w:pPr>
        <w:ind w:left="1080" w:right="20" w:hanging="549"/>
        <w:spacing w:after="0" w:line="262" w:lineRule="auto"/>
        <w:tabs>
          <w:tab w:leader="none" w:pos="108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Anti-Kickback Statute,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75" w:lineRule="exact"/>
        <w:rPr>
          <w:rFonts w:ascii="Times New Roman" w:cs="Times New Roman" w:eastAsia="Times New Roman" w:hAnsi="Times New Roman"/>
          <w:sz w:val="20"/>
          <w:szCs w:val="20"/>
          <w:color w:val="454546"/>
        </w:rPr>
      </w:pPr>
    </w:p>
    <w:p>
      <w:pPr>
        <w:ind w:left="1080" w:right="120" w:hanging="549"/>
        <w:spacing w:after="0" w:line="269" w:lineRule="auto"/>
        <w:tabs>
          <w:tab w:leader="none" w:pos="108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material to a false claim;</w:t>
      </w:r>
    </w:p>
    <w:p>
      <w:pPr>
        <w:spacing w:after="0" w:line="66" w:lineRule="exact"/>
        <w:rPr>
          <w:rFonts w:ascii="Times New Roman" w:cs="Times New Roman" w:eastAsia="Times New Roman" w:hAnsi="Times New Roman"/>
          <w:sz w:val="20"/>
          <w:szCs w:val="20"/>
          <w:color w:val="454546"/>
        </w:rPr>
      </w:pPr>
    </w:p>
    <w:p>
      <w:pPr>
        <w:ind w:left="1080" w:right="120" w:hanging="549"/>
        <w:spacing w:after="0" w:line="269" w:lineRule="auto"/>
        <w:tabs>
          <w:tab w:leader="none" w:pos="108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HIPAA, which, in addition to privacy protections applicable to healthcare providers and other entities, prohibits executing a scheme to defraud any healthcare benefit program and making false statements relating to healthcare matters;</w:t>
      </w:r>
    </w:p>
    <w:p>
      <w:pPr>
        <w:spacing w:after="0" w:line="66" w:lineRule="exact"/>
        <w:rPr>
          <w:rFonts w:ascii="Times New Roman" w:cs="Times New Roman" w:eastAsia="Times New Roman" w:hAnsi="Times New Roman"/>
          <w:sz w:val="20"/>
          <w:szCs w:val="20"/>
          <w:color w:val="454546"/>
        </w:rPr>
      </w:pPr>
    </w:p>
    <w:p>
      <w:pPr>
        <w:ind w:left="1080" w:hanging="550"/>
        <w:spacing w:after="0" w:line="262" w:lineRule="auto"/>
        <w:tabs>
          <w:tab w:leader="none" w:pos="108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so-called federal “sunshine” law, or Open Payments, which requires pharmaceutical and medical device companies to report information related to certain payments and transfers of value to certain healthcare providers to the Center for Medicare &amp; Medicaid Services, as well as ownership and investment interests held by physicians and their immediate family members;</w:t>
      </w:r>
    </w:p>
    <w:p>
      <w:pPr>
        <w:spacing w:after="0" w:line="75" w:lineRule="exact"/>
        <w:rPr>
          <w:rFonts w:ascii="Times New Roman" w:cs="Times New Roman" w:eastAsia="Times New Roman" w:hAnsi="Times New Roman"/>
          <w:sz w:val="20"/>
          <w:szCs w:val="20"/>
          <w:color w:val="454546"/>
        </w:rPr>
      </w:pPr>
    </w:p>
    <w:p>
      <w:pPr>
        <w:ind w:left="1060" w:hanging="530"/>
        <w:spacing w:after="0" w:line="287" w:lineRule="auto"/>
        <w:tabs>
          <w:tab w:leader="none" w:pos="106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consumer protection and unfair competition laws broadly regulate marketplace activities and activities that potentially harm consumers;</w:t>
      </w:r>
    </w:p>
    <w:p>
      <w:pPr>
        <w:spacing w:after="0" w:line="49" w:lineRule="exact"/>
        <w:rPr>
          <w:rFonts w:ascii="Times New Roman" w:cs="Times New Roman" w:eastAsia="Times New Roman" w:hAnsi="Times New Roman"/>
          <w:sz w:val="20"/>
          <w:szCs w:val="20"/>
          <w:color w:val="454546"/>
        </w:rPr>
      </w:pPr>
    </w:p>
    <w:p>
      <w:pPr>
        <w:ind w:left="1060" w:right="40" w:hanging="530"/>
        <w:spacing w:after="0" w:line="269" w:lineRule="auto"/>
        <w:tabs>
          <w:tab w:leader="none" w:pos="106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Federal Food, Drug, and Cosmetic Act, which among other things, strictly regulates drug product and medical device marketing, prohibits manufacturers from marketing such products prior to approval or for unapproved indications and regulates the distribution of samples;</w:t>
      </w:r>
    </w:p>
    <w:p>
      <w:pPr>
        <w:spacing w:after="0" w:line="66" w:lineRule="exact"/>
        <w:rPr>
          <w:rFonts w:ascii="Times New Roman" w:cs="Times New Roman" w:eastAsia="Times New Roman" w:hAnsi="Times New Roman"/>
          <w:sz w:val="20"/>
          <w:szCs w:val="20"/>
          <w:color w:val="454546"/>
        </w:rPr>
      </w:pPr>
    </w:p>
    <w:p>
      <w:pPr>
        <w:ind w:left="1060" w:right="300" w:hanging="530"/>
        <w:spacing w:after="0" w:line="262" w:lineRule="auto"/>
        <w:tabs>
          <w:tab w:leader="none" w:pos="106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federal laws, including the Medicaid Drug Rebate Program, that require pharmaceutical manufacturers to calculate, certify and report certain calculated product prices to the government or provide certain discounts or rebates to government authorities or private entities, often as a condition of reimbursement under government healthcare programs; and</w:t>
      </w:r>
    </w:p>
    <w:p>
      <w:pPr>
        <w:spacing w:after="0" w:line="75" w:lineRule="exact"/>
        <w:rPr>
          <w:rFonts w:ascii="Times New Roman" w:cs="Times New Roman" w:eastAsia="Times New Roman" w:hAnsi="Times New Roman"/>
          <w:sz w:val="20"/>
          <w:szCs w:val="20"/>
          <w:color w:val="454546"/>
        </w:rPr>
      </w:pPr>
    </w:p>
    <w:p>
      <w:pPr>
        <w:ind w:left="1060" w:right="60" w:hanging="530"/>
        <w:spacing w:after="0" w:line="259" w:lineRule="auto"/>
        <w:tabs>
          <w:tab w:leader="none" w:pos="1060" w:val="left"/>
        </w:tabs>
        <w:numPr>
          <w:ilvl w:val="0"/>
          <w:numId w:val="2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analogous state and foreign laws and regulations, such as state anti-kickback, anti-bribery and false claims laws, which may apply to healthcare items or services that are reimbursed by non-governmental third-party payors, including private insurers, as well as other state laws that require companies to comply with specific compliance standards, restrict financial interactions between companies and healthcare providers, require companies to report information related to payments to health care providers, marketing expenditures or pricing, or require the</w:t>
      </w:r>
    </w:p>
    <w:p>
      <w:pPr>
        <w:sectPr>
          <w:pgSz w:w="11880" w:h="15480" w:orient="portrait"/>
          <w:cols w:equalWidth="0" w:num="1">
            <w:col w:w="10220"/>
          </w:cols>
          <w:pgMar w:left="820" w:top="504" w:right="8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57</w:t>
      </w:r>
    </w:p>
    <w:p>
      <w:pPr>
        <w:sectPr>
          <w:pgSz w:w="11880" w:h="15480" w:orient="portrait"/>
          <w:cols w:equalWidth="0" w:num="1">
            <w:col w:w="10220"/>
          </w:cols>
          <w:pgMar w:left="820" w:top="504" w:right="840" w:bottom="0" w:gutter="0" w:footer="0" w:header="0"/>
          <w:type w:val="continuous"/>
        </w:sectPr>
      </w:pPr>
    </w:p>
    <w:bookmarkStart w:id="59" w:name="page60"/>
    <w:bookmarkEnd w:id="59"/>
    <w:p>
      <w:pPr>
        <w:ind w:left="1080" w:right="720"/>
        <w:spacing w:after="0" w:line="315" w:lineRule="auto"/>
        <w:rPr>
          <w:sz w:val="20"/>
          <w:szCs w:val="20"/>
          <w:color w:val="auto"/>
        </w:rPr>
      </w:pPr>
      <w:r>
        <w:rPr>
          <w:rFonts w:ascii="Times New Roman" w:cs="Times New Roman" w:eastAsia="Times New Roman" w:hAnsi="Times New Roman"/>
          <w:sz w:val="19"/>
          <w:szCs w:val="19"/>
          <w:color w:val="454546"/>
        </w:rPr>
        <w:t>licensing or registration of sales representatives or regulate the manufacture and distribution of drugs and biological products, imposing extensive record-keeping, licensing, storage and security requirements.</w:t>
      </w:r>
    </w:p>
    <w:p>
      <w:pPr>
        <w:spacing w:after="0" w:line="2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454546"/>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including, without limitation, certain of our advisory board agreements with physicians who receive stock or stock options as compensation for services provided to us.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 xml:space="preserve">Additionally, in its 2024 decision in </w:t>
      </w:r>
      <w:r>
        <w:rPr>
          <w:rFonts w:ascii="Times New Roman" w:cs="Times New Roman" w:eastAsia="Times New Roman" w:hAnsi="Times New Roman"/>
          <w:sz w:val="20"/>
          <w:szCs w:val="20"/>
          <w:i w:val="1"/>
          <w:iCs w:val="1"/>
          <w:color w:val="454546"/>
        </w:rPr>
        <w:t>Loper Bright Enterprises v. Raimondo</w:t>
      </w:r>
      <w:r>
        <w:rPr>
          <w:rFonts w:ascii="Times New Roman" w:cs="Times New Roman" w:eastAsia="Times New Roman" w:hAnsi="Times New Roman"/>
          <w:sz w:val="20"/>
          <w:szCs w:val="20"/>
          <w:color w:val="454546"/>
        </w:rPr>
        <w:t xml:space="preserve">, the U.S. Supreme Court overruled the “Chevron doctrine,” which gives deference to regulatory agencies’ statutory interpretations in litigation against federal government agencies, such as the FDA, the Centers for Medicare &amp; Medicaid Services (“CMS”) and other federal agencies where the law is ambiguous. The </w:t>
      </w:r>
      <w:r>
        <w:rPr>
          <w:rFonts w:ascii="Times New Roman" w:cs="Times New Roman" w:eastAsia="Times New Roman" w:hAnsi="Times New Roman"/>
          <w:sz w:val="20"/>
          <w:szCs w:val="20"/>
          <w:i w:val="1"/>
          <w:iCs w:val="1"/>
          <w:color w:val="454546"/>
        </w:rPr>
        <w:t>Loper</w:t>
      </w:r>
      <w:r>
        <w:rPr>
          <w:rFonts w:ascii="Times New Roman" w:cs="Times New Roman" w:eastAsia="Times New Roman" w:hAnsi="Times New Roman"/>
          <w:sz w:val="20"/>
          <w:szCs w:val="20"/>
          <w:color w:val="454546"/>
        </w:rPr>
        <w:t xml:space="preserve"> decision could result in additional legal challenges to regulations and guidance issued by federal agencies, including the FDA and the CMS, on which we rely. Any such legal challenges, if successful, could have a material impact on our business. Additionally, the </w:t>
      </w:r>
      <w:r>
        <w:rPr>
          <w:rFonts w:ascii="Times New Roman" w:cs="Times New Roman" w:eastAsia="Times New Roman" w:hAnsi="Times New Roman"/>
          <w:sz w:val="20"/>
          <w:szCs w:val="20"/>
          <w:i w:val="1"/>
          <w:iCs w:val="1"/>
          <w:color w:val="454546"/>
        </w:rPr>
        <w:t>Loper</w:t>
      </w:r>
      <w:r>
        <w:rPr>
          <w:rFonts w:ascii="Times New Roman" w:cs="Times New Roman" w:eastAsia="Times New Roman" w:hAnsi="Times New Roman"/>
          <w:sz w:val="20"/>
          <w:szCs w:val="20"/>
          <w:color w:val="454546"/>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Healthcare legislative reform measures may have a material adverse effect on our business and results of operations.</w:t>
      </w:r>
    </w:p>
    <w:p>
      <w:pPr>
        <w:spacing w:after="0" w:line="1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 xml:space="preserve">The U.S.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In particular, in the U.S., there have been and continue to be a number of reform initiatives at the federal and state level to contain healthcare costs, including specifically the cost of drugs. For example, the implementation of the IRA was intended in part to address the high cost of prescription drugs. The IRA includes caps on Medicare Part D out-of-pocket costs, Medicare Part B and Part D drug price inflation rebates, a new Medicare Part D manufacturer discount drug program and a drug price negotiation program for certain high spend Medicare Part B and D drugs. The IRA has had and will have an ongoing significant effect on the healthcare industry and prescription drug pricing overall. As another example, under the current presidential administration, there has also been executive and administrative action taken that is intended to reduce the cost of prescription drugs to third party payors and to consumers. </w:t>
      </w:r>
      <w:r>
        <w:rPr>
          <w:rFonts w:ascii="Times New Roman" w:cs="Times New Roman" w:eastAsia="Times New Roman" w:hAnsi="Times New Roman"/>
          <w:sz w:val="20"/>
          <w:szCs w:val="20"/>
          <w:i w:val="1"/>
          <w:iCs w:val="1"/>
          <w:color w:val="454546"/>
        </w:rPr>
        <w:t>See</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Business Section—Government Regulation—Current</w:t>
      </w:r>
      <w:r>
        <w:rPr>
          <w:rFonts w:ascii="Times New Roman" w:cs="Times New Roman" w:eastAsia="Times New Roman" w:hAnsi="Times New Roman"/>
          <w:sz w:val="20"/>
          <w:szCs w:val="20"/>
          <w:color w:val="454546"/>
        </w:rPr>
        <w:t xml:space="preserve"> </w:t>
      </w:r>
      <w:r>
        <w:rPr>
          <w:rFonts w:ascii="Times New Roman" w:cs="Times New Roman" w:eastAsia="Times New Roman" w:hAnsi="Times New Roman"/>
          <w:sz w:val="20"/>
          <w:szCs w:val="20"/>
          <w:i w:val="1"/>
          <w:iCs w:val="1"/>
          <w:color w:val="454546"/>
        </w:rPr>
        <w:t>and Future Healthcare Reform Legislation.</w:t>
      </w:r>
      <w:r>
        <w:rPr>
          <w:rFonts w:ascii="Times New Roman" w:cs="Times New Roman" w:eastAsia="Times New Roman" w:hAnsi="Times New Roman"/>
          <w:sz w:val="20"/>
          <w:szCs w:val="20"/>
          <w:color w:val="454546"/>
        </w:rPr>
        <w:t>”</w:t>
      </w:r>
    </w:p>
    <w:p>
      <w:pPr>
        <w:spacing w:after="0" w:line="9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454546"/>
        </w:rPr>
        <w:t>Changes in law, regulation or policy could impact our business in the future by requiring, for example: (i) changes to our manufacturing arrangements, (ii) additions or modifications to product labeling, (iii) the recall or discontinuation of our products or (iv) additional record-keeping requirements. Further, healthcare reform may result in changes to payment methodologies, the implementation of pharmaceutical and biological product price controls, reductions in Medicare and other healthcare funding or restrictions on access to covered healthcare services. If any such changes were to be imposed, they could adversely affect the operation of our business.</w:t>
      </w:r>
    </w:p>
    <w:p>
      <w:pPr>
        <w:spacing w:after="0" w:line="82" w:lineRule="exact"/>
        <w:rPr>
          <w:sz w:val="20"/>
          <w:szCs w:val="20"/>
          <w:color w:val="auto"/>
        </w:rPr>
      </w:pPr>
    </w:p>
    <w:p>
      <w:pPr>
        <w:jc w:val="both"/>
        <w:ind w:firstLine="50"/>
        <w:spacing w:after="0" w:line="289" w:lineRule="auto"/>
        <w:rPr>
          <w:sz w:val="20"/>
          <w:szCs w:val="20"/>
          <w:color w:val="auto"/>
        </w:rPr>
      </w:pPr>
      <w:r>
        <w:rPr>
          <w:rFonts w:ascii="Times New Roman" w:cs="Times New Roman" w:eastAsia="Times New Roman" w:hAnsi="Times New Roman"/>
          <w:sz w:val="19"/>
          <w:szCs w:val="19"/>
          <w:color w:val="454546"/>
        </w:rPr>
        <w:t>Executive, legislative or regulatory health care reform initiatives at the federal or state level could affect demand for, or pricing of, our current or future products if approved for sale. We cannot, however, predict the ultimate content, timing or effect of any such reform efforts. There is no assurance that such reform will not adversely affect our future business and financial results.</w:t>
      </w:r>
    </w:p>
    <w:p>
      <w:pPr>
        <w:spacing w:after="0" w:line="17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The successful commercialization of our product candidates will depend in part on the extent to which third-party payors establish coverage, adequate reimbursement levels and pricing policies.</w:t>
      </w:r>
    </w:p>
    <w:p>
      <w:pPr>
        <w:spacing w:after="0" w:line="5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9"/>
          <w:szCs w:val="19"/>
          <w:color w:val="454546"/>
        </w:rPr>
        <w:t>Our ability to obtain coverage and adequate reimbursement for our product candidates by governmental healthcare programs, private health insurers, and other third-party payors will have an effect on our ability to successfully commercialize our product candidates. We cannot be sure that coverage and reimbursement will be available for our product candidates or any future product candidate that we may develop, and any reimbursement that may become available may not be adequate or may be decreased or eliminated in the future. No uniform policy for coverage and reimbursement for products exists among third-party</w:t>
      </w:r>
    </w:p>
    <w:p>
      <w:pPr>
        <w:sectPr>
          <w:pgSz w:w="11880" w:h="15480" w:orient="portrait"/>
          <w:cols w:equalWidth="0" w:num="1">
            <w:col w:w="10220"/>
          </w:cols>
          <w:pgMar w:left="820" w:top="504" w:right="840" w:bottom="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58</w:t>
      </w:r>
    </w:p>
    <w:p>
      <w:pPr>
        <w:sectPr>
          <w:pgSz w:w="11880" w:h="15480" w:orient="portrait"/>
          <w:cols w:equalWidth="0" w:num="1">
            <w:col w:w="10220"/>
          </w:cols>
          <w:pgMar w:left="820" w:top="504" w:right="840" w:bottom="0" w:gutter="0" w:footer="0" w:header="0"/>
          <w:type w:val="continuous"/>
        </w:sectPr>
      </w:pPr>
    </w:p>
    <w:bookmarkStart w:id="60" w:name="page61"/>
    <w:bookmarkEnd w:id="60"/>
    <w:p>
      <w:pPr>
        <w:spacing w:after="0" w:line="255" w:lineRule="auto"/>
        <w:rPr>
          <w:sz w:val="20"/>
          <w:szCs w:val="20"/>
          <w:color w:val="auto"/>
        </w:rPr>
      </w:pPr>
      <w:r>
        <w:rPr>
          <w:rFonts w:ascii="Times New Roman" w:cs="Times New Roman" w:eastAsia="Times New Roman" w:hAnsi="Times New Roman"/>
          <w:sz w:val="20"/>
          <w:szCs w:val="20"/>
          <w:color w:val="454546"/>
        </w:rPr>
        <w:t>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To obtain coverage and reimbursement, we may have to offer discounts on our products. Even if we obtain coverage and reimbursement, third party payors may implement mechanisms to control utilization. If reimbursement is not available or is available only at limited levels, we may not be able to successfully commercialize our product candidates and may not be able to obtain a satisfactory financial return on our product candidates.</w:t>
      </w:r>
    </w:p>
    <w:p>
      <w:pPr>
        <w:spacing w:after="0" w:line="20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We are subject to U.S. and international restrictive regulations governing the use, processing and cross-border transfer of data and personal information.</w:t>
      </w:r>
    </w:p>
    <w:p>
      <w:pPr>
        <w:spacing w:after="0" w:line="5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454546"/>
        </w:rPr>
        <w:t>The conduct of our clinical trials may be subject to privacy restrictions based on U.S. and non-U.S. regulations. For example, we may be subject to the CCPA. As currently written, the CCPA may impact our business activities and exemplifies the vulnerability of our business to the evolving regulatory environment related to personal data and protected health information. Additionally, the collection, use, storage, disclosure, transfer, or other processing of personal data regarding individuals in the EU and the UK, including personal health data, is subject to the GDPR including as it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See “Business—Government Regulation.” Compliance with the GDPR and the UK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The UK’s data protection authority, the Information Commissioner’s Office, has indicated that following Brexit it will continue to enforce the UK GDPR in line with the enforcement of the GDPR in the EU. However, the UK government recently announced its intention to adopt a more flexible approach to the regulation of data, and as a result there remains a risk of future divergence between the EU and UK data protection regimes.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General Risk Factors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The market price of our common stock may be volatile, which could result in substantial losses for our stockholders.</w:t>
      </w:r>
    </w:p>
    <w:p>
      <w:pPr>
        <w:spacing w:after="0" w:line="130"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9"/>
          <w:szCs w:val="19"/>
          <w:color w:val="454546"/>
        </w:rPr>
        <w:t>Our stock price has been and may continue to be volatile. Since our IPO in October 2020, the closing price of our common stock as reported on the Nasdaq Global Market has ranged from a low of $2.82 on February 5, 2024 to a high of $25.88 on December 18, 2020. Some of the factors that may cause the market price of our common stock to fluctuate include:</w:t>
      </w:r>
    </w:p>
    <w:p>
      <w:pPr>
        <w:spacing w:after="0" w:line="51" w:lineRule="exact"/>
        <w:rPr>
          <w:sz w:val="20"/>
          <w:szCs w:val="20"/>
          <w:color w:val="auto"/>
        </w:rPr>
      </w:pPr>
    </w:p>
    <w:p>
      <w:pPr>
        <w:ind w:left="1080" w:hanging="549"/>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success of existing or new competitive product candidates or technologies;</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timing and results of preclinical studies and clinical trials for any product candidates that we may develop;</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failure or discontinuation of any of our product development and research programs;</w:t>
      </w:r>
    </w:p>
    <w:p>
      <w:pPr>
        <w:spacing w:after="0" w:line="129" w:lineRule="exact"/>
        <w:rPr>
          <w:rFonts w:ascii="Times New Roman" w:cs="Times New Roman" w:eastAsia="Times New Roman" w:hAnsi="Times New Roman"/>
          <w:sz w:val="20"/>
          <w:szCs w:val="20"/>
          <w:color w:val="454546"/>
        </w:rPr>
      </w:pPr>
    </w:p>
    <w:p>
      <w:pPr>
        <w:ind w:left="1080" w:right="260" w:hanging="549"/>
        <w:spacing w:after="0" w:line="287" w:lineRule="auto"/>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results of preclinical studies, clinical trials, or regulatory approvals of product candidates of our competitors, or announcements about new research programs or product candidates of our competitors;</w:t>
      </w:r>
    </w:p>
    <w:p>
      <w:pPr>
        <w:spacing w:after="0" w:line="4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commencement or termination of collaborations for our product development and research programs;</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regulatory or legal developments in the United States and other countries;</w:t>
      </w:r>
    </w:p>
    <w:p>
      <w:pPr>
        <w:spacing w:after="0" w:line="129"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developments or disputes concerning patent applications, issued patents or other proprietary rights;</w:t>
      </w:r>
    </w:p>
    <w:p>
      <w:pPr>
        <w:spacing w:after="0" w:line="129" w:lineRule="exact"/>
        <w:rPr>
          <w:rFonts w:ascii="Times New Roman" w:cs="Times New Roman" w:eastAsia="Times New Roman" w:hAnsi="Times New Roman"/>
          <w:sz w:val="20"/>
          <w:szCs w:val="20"/>
          <w:color w:val="454546"/>
        </w:rPr>
      </w:pPr>
    </w:p>
    <w:p>
      <w:pPr>
        <w:ind w:left="1080" w:hanging="550"/>
        <w:spacing w:after="0"/>
        <w:tabs>
          <w:tab w:leader="none" w:pos="108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recruitment or departure of key personnel;</w:t>
      </w:r>
    </w:p>
    <w:p>
      <w:pPr>
        <w:spacing w:after="0" w:line="129" w:lineRule="exact"/>
        <w:rPr>
          <w:rFonts w:ascii="Times New Roman" w:cs="Times New Roman" w:eastAsia="Times New Roman" w:hAnsi="Times New Roman"/>
          <w:sz w:val="20"/>
          <w:szCs w:val="20"/>
          <w:color w:val="454546"/>
        </w:rPr>
      </w:pPr>
    </w:p>
    <w:p>
      <w:pPr>
        <w:ind w:left="1060" w:hanging="530"/>
        <w:spacing w:after="0"/>
        <w:tabs>
          <w:tab w:leader="none" w:pos="106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level of expenses related to any of our research programs or product candidates that we may develop;</w:t>
      </w:r>
    </w:p>
    <w:p>
      <w:pPr>
        <w:spacing w:after="0" w:line="129" w:lineRule="exact"/>
        <w:rPr>
          <w:rFonts w:ascii="Times New Roman" w:cs="Times New Roman" w:eastAsia="Times New Roman" w:hAnsi="Times New Roman"/>
          <w:sz w:val="20"/>
          <w:szCs w:val="20"/>
          <w:color w:val="454546"/>
        </w:rPr>
      </w:pPr>
    </w:p>
    <w:p>
      <w:pPr>
        <w:ind w:left="1060" w:hanging="530"/>
        <w:spacing w:after="0"/>
        <w:tabs>
          <w:tab w:leader="none" w:pos="1060" w:val="left"/>
        </w:tabs>
        <w:numPr>
          <w:ilvl w:val="0"/>
          <w:numId w:val="2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results of our efforts to develop additional product candidates or products;</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59</w:t>
      </w:r>
    </w:p>
    <w:p>
      <w:pPr>
        <w:sectPr>
          <w:pgSz w:w="11880" w:h="15480" w:orient="portrait"/>
          <w:cols w:equalWidth="0" w:num="1">
            <w:col w:w="10240"/>
          </w:cols>
          <w:pgMar w:left="820" w:top="504" w:right="820" w:bottom="0" w:gutter="0" w:footer="0" w:header="0"/>
          <w:type w:val="continuous"/>
        </w:sectPr>
      </w:pPr>
    </w:p>
    <w:bookmarkStart w:id="61" w:name="page62"/>
    <w:bookmarkEnd w:id="61"/>
    <w:p>
      <w:pPr>
        <w:ind w:left="1100" w:right="240" w:hanging="549"/>
        <w:spacing w:after="0" w:line="287" w:lineRule="auto"/>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actual or anticipated changes in estimates as to financial results, development timelines or recommendations by securities analysts;</w:t>
      </w:r>
    </w:p>
    <w:p>
      <w:pPr>
        <w:spacing w:after="0" w:line="4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announcement or expectation of additional financing efforts;</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sales of our common stock by us, our insiders or other stockholders;</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expiration of market stand-off or lock-up agreements;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effects of geopolitical crises and the outbreak or worsening of wars or other armed conflicts;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variations in our financial results or those of companies that are perceived to be similar to us;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changes in estimates or recommendations by securities analysts, if any, that cover our stock;</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changes in the structure of healthcare payment systems;</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market conditions in the pharmaceutical and biotechnology sectors;</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general economic, industry and market conditions; and</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other factors described in this “Risk Factors” section.</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454546"/>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Securities litigation could result in substantial costs and divert management’s attention and resources from our business.</w:t>
      </w:r>
    </w:p>
    <w:p>
      <w:pPr>
        <w:spacing w:after="0" w:line="25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If securities analysts cease to publish research or reports about our business or if they publish negative evaluations of our stock, the price of our stock could decline.</w:t>
      </w:r>
    </w:p>
    <w:p>
      <w:pPr>
        <w:spacing w:after="0" w:line="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color w:val="454546"/>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6"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A significant portion of our total outstanding shares is eligible to be sold into the market, which could cause the market price of our common stock to drop significantly, even if our business is doing well.</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454546"/>
        </w:rPr>
        <w:t>Sales of a substantial number of shares of our common stock in the public market, or the perception in the market that the holders of a large number of shares intend to sell shares, could reduce the market price of our common stock. Certain holders of shares of our common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Securities Act Rule 144 or until the rights terminate pursuant to the terms of the investors’ rights agreement between us and such holders. If additional shares are sold, or if it is perceived that they will be sold, in the public market, the market price of our common stock could decline.</w:t>
      </w:r>
    </w:p>
    <w:p>
      <w:pPr>
        <w:spacing w:after="0" w:line="203"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20"/>
          <w:szCs w:val="20"/>
          <w:b w:val="1"/>
          <w:bCs w:val="1"/>
          <w:i w:val="1"/>
          <w:iCs w:val="1"/>
          <w:color w:val="454546"/>
        </w:rPr>
        <w:t>Insiders have substantial influence over us, which could limit your ability to affect the outcome of key transactions, including a change of control.</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454546"/>
        </w:rPr>
        <w:t>Our directors and executive officers and their affiliates beneficially own shares representing approximately 30%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adversely affect the market price of our common stock.</w:t>
      </w:r>
    </w:p>
    <w:p>
      <w:pPr>
        <w:spacing w:after="0" w:line="19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6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Our amended and restated certificate of incorporation, amended and restated by-laws and Delaware law contain provisions that may have the effect of discouraging, delaying or preventing a change in control of us or changes in our management that</w:t>
      </w:r>
    </w:p>
    <w:p>
      <w:pPr>
        <w:sectPr>
          <w:pgSz w:w="11880" w:h="15480" w:orient="portrait"/>
          <w:cols w:equalWidth="0" w:num="1">
            <w:col w:w="10260"/>
          </w:cols>
          <w:pgMar w:left="800" w:top="504" w:right="820" w:bottom="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60</w:t>
      </w:r>
    </w:p>
    <w:p>
      <w:pPr>
        <w:sectPr>
          <w:pgSz w:w="11880" w:h="15480" w:orient="portrait"/>
          <w:cols w:equalWidth="0" w:num="1">
            <w:col w:w="10260"/>
          </w:cols>
          <w:pgMar w:left="800" w:top="504" w:right="820" w:bottom="0" w:gutter="0" w:footer="0" w:header="0"/>
          <w:type w:val="continuous"/>
        </w:sectPr>
      </w:pPr>
    </w:p>
    <w:bookmarkStart w:id="62" w:name="page63"/>
    <w:bookmarkEnd w:id="62"/>
    <w:p>
      <w:pPr>
        <w:ind w:left="20"/>
        <w:spacing w:after="0"/>
        <w:rPr>
          <w:sz w:val="20"/>
          <w:szCs w:val="20"/>
          <w:color w:val="auto"/>
        </w:rPr>
      </w:pPr>
      <w:r>
        <w:rPr>
          <w:rFonts w:ascii="Times New Roman" w:cs="Times New Roman" w:eastAsia="Times New Roman" w:hAnsi="Times New Roman"/>
          <w:sz w:val="20"/>
          <w:szCs w:val="20"/>
          <w:color w:val="454546"/>
        </w:rPr>
        <w:t>stockholders may consider favorable, including transactions in which you might otherwise receive a premium for your shares.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Our amended and restated certificate of incorporation and by-laws include provisions that:</w:t>
      </w:r>
    </w:p>
    <w:p>
      <w:pPr>
        <w:spacing w:after="0" w:line="105" w:lineRule="exact"/>
        <w:rPr>
          <w:sz w:val="20"/>
          <w:szCs w:val="20"/>
          <w:color w:val="auto"/>
        </w:rPr>
      </w:pPr>
    </w:p>
    <w:p>
      <w:pPr>
        <w:ind w:left="1100" w:right="440" w:hanging="549"/>
        <w:spacing w:after="0" w:line="315" w:lineRule="auto"/>
        <w:tabs>
          <w:tab w:leader="none" w:pos="1100" w:val="left"/>
        </w:tabs>
        <w:numPr>
          <w:ilvl w:val="0"/>
          <w:numId w:val="31"/>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authorize “blank check” preferred stock, which could be issued by our board of directors without stockholder approval and may contain voting, liquidation, dividend and other rights superior to our common stock;</w:t>
      </w:r>
    </w:p>
    <w:p>
      <w:pPr>
        <w:spacing w:after="0" w:line="26" w:lineRule="exact"/>
        <w:rPr>
          <w:rFonts w:ascii="Times New Roman" w:cs="Times New Roman" w:eastAsia="Times New Roman" w:hAnsi="Times New Roman"/>
          <w:sz w:val="19"/>
          <w:szCs w:val="19"/>
          <w:color w:val="454546"/>
        </w:rPr>
      </w:pPr>
    </w:p>
    <w:p>
      <w:pPr>
        <w:ind w:left="1100" w:hanging="549"/>
        <w:spacing w:after="0"/>
        <w:tabs>
          <w:tab w:leader="none" w:pos="110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create a classified board of directors whose members serve staggered three-year terms;</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specify that special meetings of our stockholders can be called only by our board of directors;</w:t>
      </w:r>
    </w:p>
    <w:p>
      <w:pPr>
        <w:spacing w:after="0" w:line="12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prohibit stockholder action by written consent;</w:t>
      </w:r>
    </w:p>
    <w:p>
      <w:pPr>
        <w:spacing w:after="0" w:line="129" w:lineRule="exact"/>
        <w:rPr>
          <w:rFonts w:ascii="Times New Roman" w:cs="Times New Roman" w:eastAsia="Times New Roman" w:hAnsi="Times New Roman"/>
          <w:sz w:val="20"/>
          <w:szCs w:val="20"/>
          <w:color w:val="454546"/>
        </w:rPr>
      </w:pPr>
    </w:p>
    <w:p>
      <w:pPr>
        <w:ind w:left="1100" w:right="340" w:hanging="550"/>
        <w:spacing w:after="0" w:line="287" w:lineRule="auto"/>
        <w:tabs>
          <w:tab w:leader="none" w:pos="110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establish an advance notice procedure for stockholder approvals to be brought before an annual meeting of our stockholders, including proposed nominations of persons for election to our board of directors;</w:t>
      </w:r>
    </w:p>
    <w:p>
      <w:pPr>
        <w:spacing w:after="0" w:line="49" w:lineRule="exact"/>
        <w:rPr>
          <w:rFonts w:ascii="Times New Roman" w:cs="Times New Roman" w:eastAsia="Times New Roman" w:hAnsi="Times New Roman"/>
          <w:sz w:val="20"/>
          <w:szCs w:val="20"/>
          <w:color w:val="454546"/>
        </w:rPr>
      </w:pPr>
    </w:p>
    <w:p>
      <w:pPr>
        <w:ind w:left="1080" w:right="180" w:hanging="530"/>
        <w:spacing w:after="0" w:line="287" w:lineRule="auto"/>
        <w:tabs>
          <w:tab w:leader="none" w:pos="108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provide that vacancies on our board of directors may be filled only by a majority of directors then in office, even though less than a quorum;</w:t>
      </w:r>
    </w:p>
    <w:p>
      <w:pPr>
        <w:spacing w:after="0" w:line="4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provide that our directors may be removed only for cause;</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specify that no stockholder is permitted to cumulate votes at any election of directors;</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expressly authorize our board of directors to modify, alter or repeal our amended and restated by-laws; and</w:t>
      </w:r>
    </w:p>
    <w:p>
      <w:pPr>
        <w:spacing w:after="0" w:line="129" w:lineRule="exact"/>
        <w:rPr>
          <w:rFonts w:ascii="Times New Roman" w:cs="Times New Roman" w:eastAsia="Times New Roman" w:hAnsi="Times New Roman"/>
          <w:sz w:val="20"/>
          <w:szCs w:val="20"/>
          <w:color w:val="454546"/>
        </w:rPr>
      </w:pPr>
    </w:p>
    <w:p>
      <w:pPr>
        <w:ind w:left="1080" w:right="340" w:hanging="531"/>
        <w:spacing w:after="0" w:line="287" w:lineRule="auto"/>
        <w:tabs>
          <w:tab w:leader="none" w:pos="1080" w:val="left"/>
        </w:tabs>
        <w:numPr>
          <w:ilvl w:val="0"/>
          <w:numId w:val="3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require supermajority votes of the holders of our common stock to amend specified provisions of our amended and restated certificate of incorporation and amended and restated by-laws.</w:t>
      </w:r>
    </w:p>
    <w:p>
      <w:pPr>
        <w:spacing w:after="0" w:line="5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454546"/>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454546"/>
        </w:rPr>
        <w:t>In addition, because we are incorporated in the State of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454546"/>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7"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454546"/>
        </w:rPr>
        <w:t>Our amended and restated certificate of incorporation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Our amended and restated certificate of incorporation provides that, subject to limited exceptions, the state or federal courts (as appropriate) within the State of Delaware will be exclusive forums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our amended and restated certificate of incorporation or our amended and restated by-laws, (iv) action against us or any of our directors or officers involving a claim or defense arising pursuant to the Exchange Act or the Securities Act or (v)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2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b w:val="1"/>
          <w:bCs w:val="1"/>
          <w:color w:val="454546"/>
        </w:rPr>
        <w:t>ITEM 1B.</w:t>
      </w:r>
      <w:r>
        <w:rPr>
          <w:sz w:val="20"/>
          <w:szCs w:val="20"/>
          <w:color w:val="auto"/>
        </w:rPr>
        <w:tab/>
      </w:r>
      <w:r>
        <w:rPr>
          <w:rFonts w:ascii="Times New Roman" w:cs="Times New Roman" w:eastAsia="Times New Roman" w:hAnsi="Times New Roman"/>
          <w:sz w:val="19"/>
          <w:szCs w:val="19"/>
          <w:b w:val="1"/>
          <w:bCs w:val="1"/>
          <w:color w:val="454546"/>
        </w:rPr>
        <w:t>UNRESOLVED STAFF COMMENTS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None.</w:t>
      </w:r>
    </w:p>
    <w:p>
      <w:pPr>
        <w:spacing w:after="0" w:line="36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b w:val="1"/>
          <w:bCs w:val="1"/>
          <w:color w:val="454546"/>
        </w:rPr>
        <w:t>ITEM 1C.</w:t>
      </w:r>
      <w:r>
        <w:rPr>
          <w:sz w:val="20"/>
          <w:szCs w:val="20"/>
          <w:color w:val="auto"/>
        </w:rPr>
        <w:tab/>
      </w:r>
      <w:r>
        <w:rPr>
          <w:rFonts w:ascii="Times New Roman" w:cs="Times New Roman" w:eastAsia="Times New Roman" w:hAnsi="Times New Roman"/>
          <w:sz w:val="19"/>
          <w:szCs w:val="19"/>
          <w:b w:val="1"/>
          <w:bCs w:val="1"/>
          <w:color w:val="454546"/>
        </w:rPr>
        <w:t>CYBERSECURITY</w:t>
      </w:r>
    </w:p>
    <w:p>
      <w:pPr>
        <w:sectPr>
          <w:pgSz w:w="11880" w:h="15480" w:orient="portrait"/>
          <w:cols w:equalWidth="0" w:num="1">
            <w:col w:w="10280"/>
          </w:cols>
          <w:pgMar w:left="800" w:top="504" w:right="8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61</w:t>
      </w:r>
    </w:p>
    <w:p>
      <w:pPr>
        <w:sectPr>
          <w:pgSz w:w="11880" w:h="15480" w:orient="portrait"/>
          <w:cols w:equalWidth="0" w:num="1">
            <w:col w:w="10280"/>
          </w:cols>
          <w:pgMar w:left="800" w:top="504" w:right="80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i w:val="1"/>
          <w:iCs w:val="1"/>
          <w:color w:val="454546"/>
        </w:rPr>
        <w:t>Risk Management and Strategy</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454546"/>
        </w:rPr>
        <w:t>We have established an enterprise risk management program, with cybersecurity representing a relevant component of our overall approach to risk management. The cybersecurity portion of our risk management program shares common methodologies, reporting channels and governance processes that apply across the program to other legal, compliance, strategic, operational, and financial risk areas. In general, we seek to address cybersecurity risks through a data security framework that is focused on information classification and location, access and acceptable use controls, alerts and protections, vendor risk assessment, and backup and recovery. We engage third parties to perform assessments of our cybersecurity measures, including tabletop exercises, penetration testing, and other cybersecurity audits. As part of our cybersecurity risk management procedures, we also have a third-party cyber risk management process for service providers, suppliers, and vendors. Additionally, we provide regular, mandatory training for all employees regarding cybersecurity threats.</w:t>
      </w:r>
    </w:p>
    <w:p>
      <w:pPr>
        <w:spacing w:after="0" w:line="201"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20"/>
          <w:szCs w:val="20"/>
          <w:color w:val="454546"/>
        </w:rPr>
        <w:t>As of the date of this Annual Report on Form 10-K, we have not experienced a cybersecurity incident or other threats that resulted in a material effect on our business strategy, results of operations, or financial condition, but we cannot provide assurance that we will not be materially affected in the future by such risks or any future material incidents. For more information on our cybersecurity related risks, see Item 1A Risk Factors of this Annual Report on Form 10-K.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Governance</w:t>
      </w:r>
    </w:p>
    <w:p>
      <w:pPr>
        <w:spacing w:after="0" w:line="13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454546"/>
        </w:rPr>
        <w:t>Our Board of Directors and Audit Committee oversee our enterprise risk management process, including the management of risks arising from cybersecurity threats. On at least an annual basis, the Board of Directors and Audit Committee receive presentations and reports on cybersecurity risks from our Vice President of Information Technology, which may address topics including our overall assessment of cybersecurity risks, compliance with cybersecurity policies and procedures, third-party test results, the current threat environment, and technological trends and information security considerations arising with respect to our peers in the biotechnology space. The Board and Audit Committee also receive ad hoc reporting as appropriate. Our Vice President of Information Technology, who reports to our Chief Legal Officer, is primarily responsible for assessing such risks. This individual has over 20 years of information technology and cybersecurity experience in the biotechnology industry.</w:t>
      </w:r>
    </w:p>
    <w:p>
      <w:pPr>
        <w:spacing w:after="0" w:line="30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2.</w:t>
      </w:r>
      <w:r>
        <w:rPr>
          <w:sz w:val="20"/>
          <w:szCs w:val="20"/>
          <w:color w:val="auto"/>
        </w:rPr>
        <w:tab/>
      </w:r>
      <w:r>
        <w:rPr>
          <w:rFonts w:ascii="Times New Roman" w:cs="Times New Roman" w:eastAsia="Times New Roman" w:hAnsi="Times New Roman"/>
          <w:sz w:val="19"/>
          <w:szCs w:val="19"/>
          <w:b w:val="1"/>
          <w:bCs w:val="1"/>
          <w:color w:val="454546"/>
        </w:rPr>
        <w:t>PROPERTIES</w:t>
      </w:r>
    </w:p>
    <w:p>
      <w:pPr>
        <w:spacing w:after="0" w:line="13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color w:val="454546"/>
        </w:rPr>
        <w:t>Our corporate headquarters is located at 99 Coolidge Avenue, Suite 500, Watertown, MA 02472, where we lease and occupy approximately 72,846 square feet of office and laboratory space. The current term of our 99 Coolidge Avenue lease expires in September 2035, with two consecutive options to extend the term five additional years with 12 months’ notice at an agreed upon market rate.</w:t>
      </w:r>
    </w:p>
    <w:p>
      <w:pPr>
        <w:spacing w:after="0" w:line="7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454546"/>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30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3.</w:t>
      </w:r>
      <w:r>
        <w:rPr>
          <w:sz w:val="20"/>
          <w:szCs w:val="20"/>
          <w:color w:val="auto"/>
        </w:rPr>
        <w:tab/>
      </w:r>
      <w:r>
        <w:rPr>
          <w:rFonts w:ascii="Times New Roman" w:cs="Times New Roman" w:eastAsia="Times New Roman" w:hAnsi="Times New Roman"/>
          <w:sz w:val="19"/>
          <w:szCs w:val="19"/>
          <w:b w:val="1"/>
          <w:bCs w:val="1"/>
          <w:color w:val="454546"/>
        </w:rPr>
        <w:t>LEGAL PROCEEDINGS</w:t>
      </w:r>
    </w:p>
    <w:p>
      <w:pPr>
        <w:spacing w:after="0" w:line="13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20"/>
          <w:szCs w:val="20"/>
          <w:color w:val="454546"/>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1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4.</w:t>
      </w:r>
      <w:r>
        <w:rPr>
          <w:sz w:val="20"/>
          <w:szCs w:val="20"/>
          <w:color w:val="auto"/>
        </w:rPr>
        <w:tab/>
      </w:r>
      <w:r>
        <w:rPr>
          <w:rFonts w:ascii="Times New Roman" w:cs="Times New Roman" w:eastAsia="Times New Roman" w:hAnsi="Times New Roman"/>
          <w:sz w:val="19"/>
          <w:szCs w:val="19"/>
          <w:b w:val="1"/>
          <w:bCs w:val="1"/>
          <w:color w:val="454546"/>
        </w:rPr>
        <w:t>MINE SAFETY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Not applicable.</w:t>
      </w:r>
    </w:p>
    <w:p>
      <w:pPr>
        <w:sectPr>
          <w:pgSz w:w="11880" w:h="15480" w:orient="portrait"/>
          <w:cols w:equalWidth="0" w:num="1">
            <w:col w:w="10260"/>
          </w:cols>
          <w:pgMar w:left="820" w:top="86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62</w:t>
      </w:r>
    </w:p>
    <w:p>
      <w:pPr>
        <w:sectPr>
          <w:pgSz w:w="11880" w:h="15480" w:orient="portrait"/>
          <w:cols w:equalWidth="0" w:num="1">
            <w:col w:w="10260"/>
          </w:cols>
          <w:pgMar w:left="820" w:top="864" w:right="80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454546"/>
        </w:rPr>
        <w:t>PART II</w:t>
      </w:r>
    </w:p>
    <w:p>
      <w:pPr>
        <w:spacing w:after="0" w:line="250" w:lineRule="exact"/>
        <w:rPr>
          <w:sz w:val="20"/>
          <w:szCs w:val="20"/>
          <w:color w:val="auto"/>
        </w:rPr>
      </w:pPr>
    </w:p>
    <w:p>
      <w:pPr>
        <w:ind w:left="1440" w:right="360" w:hanging="1439"/>
        <w:spacing w:after="0" w:line="295" w:lineRule="auto"/>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5.</w:t>
      </w:r>
      <w:r>
        <w:rPr>
          <w:sz w:val="20"/>
          <w:szCs w:val="20"/>
          <w:color w:val="auto"/>
        </w:rPr>
        <w:tab/>
      </w:r>
      <w:r>
        <w:rPr>
          <w:rFonts w:ascii="Times New Roman" w:cs="Times New Roman" w:eastAsia="Times New Roman" w:hAnsi="Times New Roman"/>
          <w:sz w:val="20"/>
          <w:szCs w:val="20"/>
          <w:b w:val="1"/>
          <w:bCs w:val="1"/>
          <w:color w:val="454546"/>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Certain Information Regarding the Trading of Our Common Stock</w:t>
      </w:r>
    </w:p>
    <w:p>
      <w:pPr>
        <w:spacing w:after="0" w:line="134"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20"/>
          <w:szCs w:val="20"/>
          <w:color w:val="454546"/>
        </w:rPr>
        <w:t>Our common stock trades under the symbol “FHTX” on the Nasdaq Global Market and has been publicly traded since October 23, 2020. Prior to this time, there was no public market for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Holders of Our Common Stock</w:t>
      </w:r>
    </w:p>
    <w:p>
      <w:pPr>
        <w:spacing w:after="0" w:line="13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color w:val="454546"/>
        </w:rPr>
        <w:t>As of February 27, 2026, there were approximately 21 holders of record of shares of our common stock. This number does not include stockholders for whom shares are held in “nominee” or “street” name.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Securities Authorized for Issuance Under Equity Compensation Plans</w:t>
      </w:r>
    </w:p>
    <w:p>
      <w:pPr>
        <w:spacing w:after="0" w:line="13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color w:val="454546"/>
        </w:rPr>
        <w:t>The information required by Item 5 of Form 10-K regarding equity compensation plans is incorporated herein by reference to Item 12 of Part III of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 Sales of Unregistered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None.</w:t>
      </w:r>
    </w:p>
    <w:p>
      <w:pPr>
        <w:spacing w:after="0" w:line="246" w:lineRule="exact"/>
        <w:rPr>
          <w:sz w:val="20"/>
          <w:szCs w:val="20"/>
          <w:color w:val="auto"/>
        </w:rPr>
      </w:pPr>
    </w:p>
    <w:p>
      <w:pPr>
        <w:ind w:right="3720"/>
        <w:spacing w:after="0" w:line="416" w:lineRule="auto"/>
        <w:rPr>
          <w:sz w:val="20"/>
          <w:szCs w:val="20"/>
          <w:color w:val="auto"/>
        </w:rPr>
      </w:pPr>
      <w:r>
        <w:rPr>
          <w:rFonts w:ascii="Times New Roman" w:cs="Times New Roman" w:eastAsia="Times New Roman" w:hAnsi="Times New Roman"/>
          <w:sz w:val="20"/>
          <w:szCs w:val="20"/>
          <w:b w:val="1"/>
          <w:bCs w:val="1"/>
          <w:color w:val="454546"/>
        </w:rPr>
        <w:t xml:space="preserve">Issuer Purchases of Equity Securities by the Issuer and Affiliated Purchasers </w:t>
      </w:r>
      <w:r>
        <w:rPr>
          <w:rFonts w:ascii="Times New Roman" w:cs="Times New Roman" w:eastAsia="Times New Roman" w:hAnsi="Times New Roman"/>
          <w:sz w:val="20"/>
          <w:szCs w:val="20"/>
          <w:color w:val="454546"/>
        </w:rPr>
        <w:t>None.</w:t>
      </w:r>
    </w:p>
    <w:p>
      <w:pPr>
        <w:spacing w:after="0" w:line="16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6.</w:t>
      </w:r>
      <w:r>
        <w:rPr>
          <w:sz w:val="20"/>
          <w:szCs w:val="20"/>
          <w:color w:val="auto"/>
        </w:rPr>
        <w:tab/>
      </w:r>
      <w:r>
        <w:rPr>
          <w:rFonts w:ascii="Times New Roman" w:cs="Times New Roman" w:eastAsia="Times New Roman" w:hAnsi="Times New Roman"/>
          <w:sz w:val="19"/>
          <w:szCs w:val="19"/>
          <w:b w:val="1"/>
          <w:bCs w:val="1"/>
          <w:color w:val="454546"/>
        </w:rPr>
        <w:t>[RESERVED]</w:t>
      </w:r>
    </w:p>
    <w:p>
      <w:pPr>
        <w:spacing w:after="0" w:line="370" w:lineRule="exact"/>
        <w:rPr>
          <w:sz w:val="20"/>
          <w:szCs w:val="20"/>
          <w:color w:val="auto"/>
        </w:rPr>
      </w:pPr>
    </w:p>
    <w:p>
      <w:pPr>
        <w:ind w:left="1440" w:right="200" w:hanging="1439"/>
        <w:spacing w:after="0" w:line="295" w:lineRule="auto"/>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7.</w:t>
      </w:r>
      <w:r>
        <w:rPr>
          <w:sz w:val="20"/>
          <w:szCs w:val="20"/>
          <w:color w:val="auto"/>
        </w:rPr>
        <w:tab/>
      </w:r>
      <w:r>
        <w:rPr>
          <w:rFonts w:ascii="Times New Roman" w:cs="Times New Roman" w:eastAsia="Times New Roman" w:hAnsi="Times New Roman"/>
          <w:sz w:val="20"/>
          <w:szCs w:val="20"/>
          <w:b w:val="1"/>
          <w:bCs w:val="1"/>
          <w:color w:val="454546"/>
        </w:rPr>
        <w:t>MANAGEMENT’S DISCUSSION AND ANALYSIS OF FINANCIAL CONDITION AND RESULTS OF OPERATIONS</w:t>
      </w:r>
    </w:p>
    <w:p>
      <w:pPr>
        <w:spacing w:after="0" w:line="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i w:val="1"/>
          <w:iCs w:val="1"/>
          <w:color w:val="454546"/>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“Risk Factors” and elsewhere in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Overview</w:t>
      </w:r>
    </w:p>
    <w:p>
      <w:pPr>
        <w:spacing w:after="0" w:line="1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454546"/>
        </w:rPr>
        <w:t>Foghorn is a clinical stage, precision therapeutics biotechnology company pioneering a new class of medicines that treat serious diseases by correcting abnormal gene expression through selectively targeting the chromatin regulatory system, an untapped opportunity for therapeutic intervention in oncology and with potential in a wide spectrum of other diseases including immunology and inflammation.</w:t>
      </w:r>
    </w:p>
    <w:p>
      <w:pPr>
        <w:spacing w:after="0" w:line="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454546"/>
        </w:rPr>
        <w:t>The chromatin regulatory system orchestrates gene expression</w:t>
      </w:r>
      <w:r>
        <w:rPr>
          <w:rFonts w:ascii="Times New Roman" w:cs="Times New Roman" w:eastAsia="Times New Roman" w:hAnsi="Times New Roman"/>
          <w:sz w:val="24"/>
          <w:szCs w:val="24"/>
          <w:b w:val="1"/>
          <w:bCs w:val="1"/>
          <w:color w:val="454546"/>
        </w:rPr>
        <w:t>—</w:t>
      </w:r>
      <w:r>
        <w:rPr>
          <w:rFonts w:ascii="Times New Roman" w:cs="Times New Roman" w:eastAsia="Times New Roman" w:hAnsi="Times New Roman"/>
          <w:sz w:val="20"/>
          <w:szCs w:val="20"/>
          <w:color w:val="454546"/>
        </w:rPr>
        <w:t>the turning on and off of genes</w:t>
      </w:r>
      <w:r>
        <w:rPr>
          <w:rFonts w:ascii="Times New Roman" w:cs="Times New Roman" w:eastAsia="Times New Roman" w:hAnsi="Times New Roman"/>
          <w:sz w:val="24"/>
          <w:szCs w:val="24"/>
          <w:b w:val="1"/>
          <w:bCs w:val="1"/>
          <w:color w:val="454546"/>
        </w:rPr>
        <w:t>—</w:t>
      </w:r>
      <w:r>
        <w:rPr>
          <w:rFonts w:ascii="Times New Roman" w:cs="Times New Roman" w:eastAsia="Times New Roman" w:hAnsi="Times New Roman"/>
          <w:sz w:val="20"/>
          <w:szCs w:val="20"/>
          <w:color w:val="454546"/>
        </w:rPr>
        <w:t>which is fundamental to how all our cells function. The chromatin regulatory system is implicated in approximately 50 percent of all cancers, and understanding how this system works could lead to an entirely new class of precision medicines. To our knowledge, we are the only company with the ability to study and target the chromatin regulatory system at scale, in context, and in an integrated way.</w:t>
      </w:r>
    </w:p>
    <w:p>
      <w:pPr>
        <w:spacing w:after="0" w:line="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454546"/>
        </w:rPr>
        <w:t>Our proprietary Gene Traffic Control platform provides an integrated and mechanistic understanding of how the various components of the chromatin regulatory system interact, allowing us to identify, validate and potentially drug targets within this system. We have developed unique capabilities that have yielded new insights and scalability in drugging this new, previously untapped and promising area.</w:t>
      </w:r>
    </w:p>
    <w:p>
      <w:pPr>
        <w:spacing w:after="0" w:line="7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9"/>
          <w:szCs w:val="19"/>
          <w:color w:val="454546"/>
        </w:rPr>
        <w:t>At present, we are working on more than seven programs with one clinical-stage drug candidate currently in Phase 1 development. We have discovered highly selective chemical matter for some of the most challenging targets in oncology including SMARCA2 (BRM), CBP, EP300, and ARID1B as well as other undisclosed targets. We believe our current pipeline has the potential to help more than 500,000 cancer patients. We take a small molecule modality agnostic approach to drugging</w:t>
      </w:r>
    </w:p>
    <w:p>
      <w:pPr>
        <w:sectPr>
          <w:pgSz w:w="11880" w:h="15480" w:orient="portrait"/>
          <w:cols w:equalWidth="0" w:num="1">
            <w:col w:w="10240"/>
          </w:cols>
          <w:pgMar w:left="820" w:top="500" w:right="82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63</w:t>
      </w:r>
    </w:p>
    <w:p>
      <w:pPr>
        <w:sectPr>
          <w:pgSz w:w="11880" w:h="15480" w:orient="portrait"/>
          <w:cols w:equalWidth="0" w:num="1">
            <w:col w:w="10240"/>
          </w:cols>
          <w:pgMar w:left="820" w:top="500" w:right="820" w:bottom="0" w:gutter="0" w:footer="0" w:header="0"/>
          <w:type w:val="continuous"/>
        </w:sectPr>
      </w:pPr>
    </w:p>
    <w:bookmarkStart w:id="65" w:name="page66"/>
    <w:bookmarkEnd w:id="65"/>
    <w:p>
      <w:pPr>
        <w:ind w:right="60"/>
        <w:spacing w:after="0" w:line="268" w:lineRule="auto"/>
        <w:rPr>
          <w:sz w:val="20"/>
          <w:szCs w:val="20"/>
          <w:color w:val="auto"/>
        </w:rPr>
      </w:pPr>
      <w:r>
        <w:rPr>
          <w:rFonts w:ascii="Times New Roman" w:cs="Times New Roman" w:eastAsia="Times New Roman" w:hAnsi="Times New Roman"/>
          <w:sz w:val="20"/>
          <w:szCs w:val="20"/>
          <w:color w:val="454546"/>
        </w:rPr>
        <w:t>targets which includes protein degraders, allosteric enzymatic inhibitors, and transcription factor disruptors. We are a biology first company, which means we focus first on the underlying genetics and biology of a disease relevant target and then leverage the most appropriate drugging approach to impact the disease biology.</w:t>
      </w:r>
    </w:p>
    <w:p>
      <w:pPr>
        <w:spacing w:after="0" w:line="7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Since our inception, we have focused substantially all of our resources on building our Gene Traffic Control platform, organizing and staffing our company, business planning, conducting discovery and research activities, raising capital, protecting our trade secrets, filing patent applications, identifying potential product candidates, undertaking preclinical studies and clinical trial activities, establishing arrangements with third parties for the manufacture of initial quantities of our product candidates and component materials and initiating two strategic collaborations. We do not have any products approved for sale and have not generated any revenue from product sales.</w:t>
      </w:r>
    </w:p>
    <w:p>
      <w:pPr>
        <w:spacing w:after="0" w:line="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454546"/>
        </w:rPr>
        <w:t>On December 10, 2021, we entered into a collaboration agreement (the “Lilly Collaboration Agreement”) with Eli Lilly and Company (“Lilly”), for which we received an upfront payment of $300.0 million in January 2022 (see Note 8 to our notes to consolidated financial statements included elsewhere in this Annual Report on Form 10-K). Concurrent with the Lilly Collaboration Agreement, we also entered into a stock purchase agreement (the “Lilly SPA”) with Lilly whereby we issued and sold Lilly 4,000,000 shares of our common stock, par value $0.0001 per share (“Common Stock”), at a price of $20.00 per share, resulting in net proceeds of $80.0 million, of which $42.2 million was allocated to equity upon the issuance of our common stock.</w:t>
      </w:r>
    </w:p>
    <w:p>
      <w:pPr>
        <w:spacing w:after="0" w:line="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454546"/>
        </w:rPr>
        <w:t>The Lilly Collaboration Agreement generally provides that Lilly and Foghorn will co-develop and co-commercialize certain “joint” programs for the U.S., and these joint programs will be subject to a U.S. profit and expense share. Outside the U.S., the joint programs are subject to a world-wide research and development expense share and ex-U.S. royalties. The joint programs include the selective SMARCA2 oncology program that includes both a selective inhibitor (FHD-909) and a selective degrader, as well as an additional undisclosed oncology target. The collaboration also includes three discovery programs that will leverage Foghorn’s proprietary Gene Traffic Control platform which are subject to customary royalties and milestones and are not subject to co-development, co-commercialization rights.</w:t>
      </w:r>
    </w:p>
    <w:p>
      <w:pPr>
        <w:spacing w:after="0" w:line="8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454546"/>
        </w:rPr>
        <w:t>FHD-909 was transitioned to Lilly during the third quarter of 2023, which triggered the 50/50 cost share for the SMARCA2 programs. Costs related to the cost-share are included in research and development expenses on the consolidated statements of operations and comprehensive loss.</w:t>
      </w:r>
    </w:p>
    <w:p>
      <w:pPr>
        <w:spacing w:after="0" w:line="6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color w:val="454546"/>
        </w:rPr>
        <w:t>In October 2024, the first patient was dosed in a Phase 1 dose escalation study of FHD-909, a selective allosteric ATPase inhibitor of SMARCA2, developed in collaboration with Lilly.</w:t>
      </w:r>
    </w:p>
    <w:p>
      <w:pPr>
        <w:spacing w:after="0" w:line="5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color w:val="454546"/>
        </w:rPr>
        <w:t>In December 2024, we announced our decision to discontinue the independent development of FHD-286 in combination with decitabine in patients with relapsed and/or refractory acute myeloid leukemia.</w:t>
      </w:r>
    </w:p>
    <w:p>
      <w:pPr>
        <w:spacing w:after="0" w:line="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454546"/>
        </w:rPr>
        <w:t>In May 2024, the Company entered into an underwriting agreement with Jefferies LLC, TD Securities (USA) LLC and Evercore Group LLC relating to the issuance and sale of an aggregate of 12,743,039 shares of its Common Stock at a public offering price of $5.51 per share to certain investors. In addition, the Company issued and sold to certain investors in lieu of Common Stock pre-funded warrants to purchase 7,220,794 shares of its Common Stock (the “Pre-funded Warrants”) at a public offering price of $5.5099 per pre-funded warrant, which represents the public offering price per share of the Common Stock less the $0.0001 exercise price per share of each pre-funded warrant. The offering (the “May 2024 Offering”) closed on May 22, 2024, resulting in net proceeds of $102.8 million, after deducting underwriting discounts, commissions and other offering expenses.</w:t>
      </w:r>
    </w:p>
    <w:p>
      <w:pPr>
        <w:spacing w:after="0" w:line="8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color w:val="454546"/>
        </w:rPr>
        <w:t>In the fourth quarter of 2025, the Company utilized its at-the-market facility (the “ATM Facility”) to sell 101,174 shares of its Common Stock for proceeds of $0.5 million.</w:t>
      </w:r>
    </w:p>
    <w:p>
      <w:pPr>
        <w:spacing w:after="0" w:line="50" w:lineRule="exact"/>
        <w:rPr>
          <w:sz w:val="20"/>
          <w:szCs w:val="20"/>
          <w:color w:val="auto"/>
        </w:rPr>
      </w:pPr>
    </w:p>
    <w:p>
      <w:pPr>
        <w:ind w:firstLine="1"/>
        <w:spacing w:after="0" w:line="255" w:lineRule="auto"/>
        <w:rPr>
          <w:sz w:val="20"/>
          <w:szCs w:val="20"/>
          <w:color w:val="auto"/>
        </w:rPr>
      </w:pPr>
      <w:r>
        <w:rPr>
          <w:rFonts w:ascii="Times New Roman" w:cs="Times New Roman" w:eastAsia="Times New Roman" w:hAnsi="Times New Roman"/>
          <w:sz w:val="20"/>
          <w:szCs w:val="20"/>
          <w:color w:val="454546"/>
        </w:rPr>
        <w:t>On January 9, 2026, the Company entered into securities purchase agreements (the “Purchase Agreements”) with certain leading life sciences investors (the “Investors”), relating to the issuance and sale of 2,030,314 shares of its Common Stock and, in lieu of Common Stock, pre-funded warrants to purchase 5,421,250 shares of Common Stock (the “Pre-Funded Warrants”). The Company sold the shares of Common Stock and Pre-Funded Warrants together with two series of warrants, Series 1 Warrants and Series 2 Warrants, to purchase an aggregate of 7,451,564 shares of the Common Stock (the “Series Warrants”). The Pre-Funded Warrants were exercisable immediately upon issuance at an initial exercise price of $0.0001 per share and have a term of 20 years. The shares of Common Stock, or Pre-Funded Warrants, as applicable, and the accompanying Series Warrants were immediately separable and were issued separately, but they were purchased together in the offering.</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454546"/>
        </w:rPr>
        <w:t>The Series Warrants were immediately exercisable. Each Series 1 Warrant has an initial exercise price of $13.42 per share of Common Stock, subject to certain adjustments, and expires on June 30, 2027. Each Series 2 Warrant has an initial exercise price of $20.13 per share of Common Stock, subject to certain adjustments, and expires on December 31, 2030. For the Series Warrants, the Investor may elect to receive, in lieu of shares of Common Stock, pre-funded warrants to purchase an equivalent number of shares of Common Stock. The offering (the “January 2026 Offering”) closed on January 13, 2026, resulting in gross</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64</w:t>
      </w:r>
    </w:p>
    <w:p>
      <w:pPr>
        <w:sectPr>
          <w:pgSz w:w="11880" w:h="15480" w:orient="portrait"/>
          <w:cols w:equalWidth="0" w:num="1">
            <w:col w:w="10240"/>
          </w:cols>
          <w:pgMar w:left="820" w:top="504" w:right="820" w:bottom="0" w:gutter="0" w:footer="0" w:header="0"/>
          <w:type w:val="continuous"/>
        </w:sectPr>
      </w:pPr>
    </w:p>
    <w:bookmarkStart w:id="66" w:name="page67"/>
    <w:bookmarkEnd w:id="66"/>
    <w:p>
      <w:pPr>
        <w:ind w:left="20" w:right="200"/>
        <w:spacing w:after="0" w:line="287" w:lineRule="auto"/>
        <w:rPr>
          <w:sz w:val="20"/>
          <w:szCs w:val="20"/>
          <w:color w:val="auto"/>
        </w:rPr>
      </w:pPr>
      <w:r>
        <w:rPr>
          <w:rFonts w:ascii="Times New Roman" w:cs="Times New Roman" w:eastAsia="Times New Roman" w:hAnsi="Times New Roman"/>
          <w:sz w:val="20"/>
          <w:szCs w:val="20"/>
          <w:color w:val="454546"/>
        </w:rPr>
        <w:t>proceeds of approximately $50 million before offering expenses, and excluding any proceeds the Company may receive upon exercise of the Pre-Funded Warrants and Series Warrants.</w:t>
      </w:r>
    </w:p>
    <w:p>
      <w:pPr>
        <w:spacing w:after="0" w:line="50" w:lineRule="exact"/>
        <w:rPr>
          <w:sz w:val="20"/>
          <w:szCs w:val="20"/>
          <w:color w:val="auto"/>
        </w:rPr>
      </w:pPr>
    </w:p>
    <w:p>
      <w:pPr>
        <w:ind w:left="20"/>
        <w:spacing w:after="0" w:line="276" w:lineRule="auto"/>
        <w:rPr>
          <w:sz w:val="20"/>
          <w:szCs w:val="20"/>
          <w:color w:val="auto"/>
        </w:rPr>
      </w:pPr>
      <w:r>
        <w:rPr>
          <w:rFonts w:ascii="Times New Roman" w:cs="Times New Roman" w:eastAsia="Times New Roman" w:hAnsi="Times New Roman"/>
          <w:sz w:val="19"/>
          <w:szCs w:val="19"/>
          <w:color w:val="454546"/>
        </w:rPr>
        <w:t>We have incurred significant operating losses since our inception. For the years ended December 31, 2025 and 2024, we reported net losses of $74.3 million and $86.6 million, respectively. As of December 31, 2025, we had an accumulated deficit of $632.5 million. We expect to continue to incur significant expenses and increasing operating losses for at least the next several years. Our ability to generate any product revenue or product revenue sufficient to achieve profitability will depend on the successful development and eventual commercialization of one or more product candidates we are developing or may develop.</w:t>
      </w:r>
    </w:p>
    <w:p>
      <w:pPr>
        <w:spacing w:after="0" w:line="64" w:lineRule="exact"/>
        <w:rPr>
          <w:sz w:val="20"/>
          <w:szCs w:val="20"/>
          <w:color w:val="auto"/>
        </w:rPr>
      </w:pPr>
    </w:p>
    <w:p>
      <w:pPr>
        <w:ind w:left="20" w:right="460"/>
        <w:spacing w:after="0" w:line="287" w:lineRule="auto"/>
        <w:rPr>
          <w:sz w:val="20"/>
          <w:szCs w:val="20"/>
          <w:color w:val="auto"/>
        </w:rPr>
      </w:pPr>
      <w:r>
        <w:rPr>
          <w:rFonts w:ascii="Times New Roman" w:cs="Times New Roman" w:eastAsia="Times New Roman" w:hAnsi="Times New Roman"/>
          <w:sz w:val="20"/>
          <w:szCs w:val="20"/>
          <w:color w:val="454546"/>
        </w:rPr>
        <w:t>We expect that our expenses and capital requirements will increase substantially in connection with our ongoing activities, particularly if and as we:</w:t>
      </w:r>
    </w:p>
    <w:p>
      <w:pPr>
        <w:spacing w:after="0" w:line="50" w:lineRule="exact"/>
        <w:rPr>
          <w:sz w:val="20"/>
          <w:szCs w:val="20"/>
          <w:color w:val="auto"/>
        </w:rPr>
      </w:pPr>
    </w:p>
    <w:p>
      <w:pPr>
        <w:ind w:left="1100" w:right="720" w:hanging="549"/>
        <w:spacing w:after="0" w:line="287" w:lineRule="auto"/>
        <w:tabs>
          <w:tab w:leader="none" w:pos="110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advance FHD-909 and other product candidates partnered with Lilly, and continue preclinical and clinical development of product candidates from our current portfolio;</w:t>
      </w:r>
    </w:p>
    <w:p>
      <w:pPr>
        <w:spacing w:after="0" w:line="4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identify and advance additional research programs and additional product candidates;</w:t>
      </w:r>
    </w:p>
    <w:p>
      <w:pPr>
        <w:spacing w:after="0" w:line="129" w:lineRule="exact"/>
        <w:rPr>
          <w:rFonts w:ascii="Times New Roman" w:cs="Times New Roman" w:eastAsia="Times New Roman" w:hAnsi="Times New Roman"/>
          <w:sz w:val="20"/>
          <w:szCs w:val="20"/>
          <w:color w:val="454546"/>
        </w:rPr>
      </w:pPr>
    </w:p>
    <w:p>
      <w:pPr>
        <w:ind w:left="1100" w:hanging="549"/>
        <w:spacing w:after="0"/>
        <w:tabs>
          <w:tab w:leader="none" w:pos="110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initiate preclinical testing for any new product candidates we identify and develop;</w:t>
      </w:r>
    </w:p>
    <w:p>
      <w:pPr>
        <w:spacing w:after="0" w:line="129" w:lineRule="exact"/>
        <w:rPr>
          <w:rFonts w:ascii="Times New Roman" w:cs="Times New Roman" w:eastAsia="Times New Roman" w:hAnsi="Times New Roman"/>
          <w:sz w:val="20"/>
          <w:szCs w:val="20"/>
          <w:color w:val="454546"/>
        </w:rPr>
      </w:pPr>
    </w:p>
    <w:p>
      <w:pPr>
        <w:ind w:left="1100" w:right="460" w:hanging="550"/>
        <w:spacing w:after="0" w:line="287" w:lineRule="auto"/>
        <w:tabs>
          <w:tab w:leader="none" w:pos="110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obtain, maintain, expand, enforce, defend and protect our trade secrets and intellectual property portfolio and provide reimbursement of third-party expenses related to our patent portfolio;</w:t>
      </w:r>
    </w:p>
    <w:p>
      <w:pPr>
        <w:spacing w:after="0" w:line="49"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hire additional research and development personnel;</w:t>
      </w:r>
    </w:p>
    <w:p>
      <w:pPr>
        <w:spacing w:after="0" w:line="129" w:lineRule="exact"/>
        <w:rPr>
          <w:rFonts w:ascii="Times New Roman" w:cs="Times New Roman" w:eastAsia="Times New Roman" w:hAnsi="Times New Roman"/>
          <w:sz w:val="20"/>
          <w:szCs w:val="20"/>
          <w:color w:val="454546"/>
        </w:rPr>
      </w:pPr>
    </w:p>
    <w:p>
      <w:pPr>
        <w:ind w:left="1100" w:right="200" w:hanging="550"/>
        <w:spacing w:after="0" w:line="287" w:lineRule="auto"/>
        <w:tabs>
          <w:tab w:leader="none" w:pos="110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add operational, legal, compliance, financial and management information systems and personnel to support our research, product development and operations;</w:t>
      </w:r>
    </w:p>
    <w:p>
      <w:pPr>
        <w:spacing w:after="0" w:line="4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expand the capabilities of our platform;</w:t>
      </w:r>
    </w:p>
    <w:p>
      <w:pPr>
        <w:spacing w:after="0" w:line="12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acquire or in-license product candidates, intellectual property and technologies;</w:t>
      </w:r>
    </w:p>
    <w:p>
      <w:pPr>
        <w:spacing w:after="0" w:line="129" w:lineRule="exact"/>
        <w:rPr>
          <w:rFonts w:ascii="Times New Roman" w:cs="Times New Roman" w:eastAsia="Times New Roman" w:hAnsi="Times New Roman"/>
          <w:sz w:val="20"/>
          <w:szCs w:val="20"/>
          <w:color w:val="454546"/>
        </w:rPr>
      </w:pPr>
    </w:p>
    <w:p>
      <w:pPr>
        <w:ind w:left="1080" w:hanging="531"/>
        <w:spacing w:after="0"/>
        <w:tabs>
          <w:tab w:leader="none" w:pos="10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experience significant operating cost increases as a result of increased inflation or increased tariffs;</w:t>
      </w:r>
    </w:p>
    <w:p>
      <w:pPr>
        <w:spacing w:after="0" w:line="129" w:lineRule="exact"/>
        <w:rPr>
          <w:rFonts w:ascii="Times New Roman" w:cs="Times New Roman" w:eastAsia="Times New Roman" w:hAnsi="Times New Roman"/>
          <w:sz w:val="20"/>
          <w:szCs w:val="20"/>
          <w:color w:val="454546"/>
        </w:rPr>
      </w:pPr>
    </w:p>
    <w:p>
      <w:pPr>
        <w:ind w:left="1080" w:hanging="531"/>
        <w:spacing w:after="0"/>
        <w:tabs>
          <w:tab w:leader="none" w:pos="10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operate as a public company;</w:t>
      </w:r>
    </w:p>
    <w:p>
      <w:pPr>
        <w:spacing w:after="0" w:line="129" w:lineRule="exact"/>
        <w:rPr>
          <w:rFonts w:ascii="Times New Roman" w:cs="Times New Roman" w:eastAsia="Times New Roman" w:hAnsi="Times New Roman"/>
          <w:sz w:val="20"/>
          <w:szCs w:val="20"/>
          <w:color w:val="454546"/>
        </w:rPr>
      </w:pPr>
    </w:p>
    <w:p>
      <w:pPr>
        <w:ind w:left="1080" w:hanging="531"/>
        <w:spacing w:after="0"/>
        <w:tabs>
          <w:tab w:leader="none" w:pos="10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seek marketing approvals for any product candidates that successfully complete clinical trials; and</w:t>
      </w:r>
    </w:p>
    <w:p>
      <w:pPr>
        <w:spacing w:after="0" w:line="129" w:lineRule="exact"/>
        <w:rPr>
          <w:rFonts w:ascii="Times New Roman" w:cs="Times New Roman" w:eastAsia="Times New Roman" w:hAnsi="Times New Roman"/>
          <w:sz w:val="20"/>
          <w:szCs w:val="20"/>
          <w:color w:val="454546"/>
        </w:rPr>
      </w:pPr>
    </w:p>
    <w:p>
      <w:pPr>
        <w:ind w:left="1080" w:right="80" w:hanging="531"/>
        <w:spacing w:after="0" w:line="287" w:lineRule="auto"/>
        <w:tabs>
          <w:tab w:leader="none" w:pos="1080" w:val="left"/>
        </w:tabs>
        <w:numPr>
          <w:ilvl w:val="0"/>
          <w:numId w:val="3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ultimately establish a sales, marketing and distribution infrastructure to commercialize any products for which we may obtain marketing approval.</w:t>
      </w:r>
    </w:p>
    <w:p>
      <w:pPr>
        <w:spacing w:after="0" w:line="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454546"/>
        </w:rPr>
        <w:t>We will not generate revenue from product sales unless and until we successfully commercialize one of our product candidates, after completing clinical development and obtaining regulatory approval. If we obtain regulatory approval for any of our product candidates, we expect to incur significant expenses related to developing our commercialization capability to support product sales, marketing, manufacturing and distribution. Further, we expect to incur additional costs associated with operating as a public company.</w:t>
      </w:r>
    </w:p>
    <w:p>
      <w:pPr>
        <w:spacing w:after="0" w:line="7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454546"/>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and collaborations or licensing arrangements and the Lilly Collaboration Agreement. We may be unable to raise additional funds or enter into such other agreements or arrangements when needed on favorable terms, or at all. If we fail to raise capital or enter into such agreements as, and when, needed, we may have to significantly delay, scale back our development or commercialization plans for one or more of our product candidates.</w:t>
      </w:r>
    </w:p>
    <w:p>
      <w:pPr>
        <w:spacing w:after="0" w:line="8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454546"/>
        </w:rPr>
        <w:t>Because of the numerous risks and uncertainties associated with pharmaceutical product development and the current geopolitical and economic and trade environment,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Components of Our 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Collaboration Revenue</w:t>
      </w:r>
    </w:p>
    <w:p>
      <w:pPr>
        <w:spacing w:after="0" w:line="13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454546"/>
        </w:rPr>
        <w:t>To date, we have not generated any revenue from product sales and do not expect to do so in the near future. If our development efforts for our product candidates are successful and result in regulatory approval or licenses with third parties, we may generate revenue in the future from product sales, milestone payments under our existing collaboration agreement or payments from other license agreements that we may enter into with third parties.</w:t>
      </w:r>
    </w:p>
    <w:p>
      <w:pPr>
        <w:sectPr>
          <w:pgSz w:w="11880" w:h="15480" w:orient="portrait"/>
          <w:cols w:equalWidth="0" w:num="1">
            <w:col w:w="10280"/>
          </w:cols>
          <w:pgMar w:left="800" w:top="504" w:right="8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65</w:t>
      </w:r>
    </w:p>
    <w:p>
      <w:pPr>
        <w:sectPr>
          <w:pgSz w:w="11880" w:h="15480" w:orient="portrait"/>
          <w:cols w:equalWidth="0" w:num="1">
            <w:col w:w="10280"/>
          </w:cols>
          <w:pgMar w:left="800" w:top="504" w:right="800" w:bottom="0" w:gutter="0" w:footer="0" w:header="0"/>
          <w:type w:val="continuous"/>
        </w:sectPr>
      </w:pPr>
    </w:p>
    <w:bookmarkStart w:id="67" w:name="page68"/>
    <w:bookmarkEnd w:id="67"/>
    <w:p>
      <w:pPr>
        <w:ind w:left="20" w:right="400"/>
        <w:spacing w:after="0" w:line="256" w:lineRule="auto"/>
        <w:rPr>
          <w:sz w:val="20"/>
          <w:szCs w:val="20"/>
          <w:color w:val="auto"/>
        </w:rPr>
      </w:pPr>
      <w:r>
        <w:rPr>
          <w:rFonts w:ascii="Times New Roman" w:cs="Times New Roman" w:eastAsia="Times New Roman" w:hAnsi="Times New Roman"/>
          <w:sz w:val="20"/>
          <w:szCs w:val="20"/>
          <w:color w:val="454546"/>
        </w:rPr>
        <w:t>In December of 2021, we entered into a strategic collaboration with Lilly to create novel oncology medicines by applying Foghorn’s proprietary Gene Traffic Control platform. The collaboration includes a U.S. co-development and co-commercialization agreement for the aforementioned selective SMARCA2 (BRM) oncology program and an additional undisclosed oncology target. In addition, the collaboration includes three additional discovery programs using Foghorn’s proprietary Gene Traffic Control platform. Under the terms of the collaboration, Foghorn received upfront consideration of $300.0 million in cash pursuant to the Lilly Collaboration Agreement, together with an equity investment by Lilly of $80.0 million in shares of Foghorn Common Stock pursuant to the Lilly SPA.</w:t>
      </w:r>
    </w:p>
    <w:p>
      <w:pPr>
        <w:spacing w:after="0" w:line="83"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9"/>
          <w:szCs w:val="19"/>
          <w:color w:val="454546"/>
        </w:rPr>
        <w:t>For the SMARCA2 selective program and the additional undisclosed target program, Foghorn will lead discovery and early research activities, while Lilly will lead development and commercialization activities with participation from Foghorn in operational activities and cost sharing. Foghorn and Lilly will share 50/50 in the U.S. economics, and Foghorn is eligible to receive royalties on ex-U.S. sales starting in the low double-digit range and escalating into the twenties based on revenue levels.</w:t>
      </w:r>
    </w:p>
    <w:p>
      <w:pPr>
        <w:spacing w:after="0" w:line="60" w:lineRule="exact"/>
        <w:rPr>
          <w:sz w:val="20"/>
          <w:szCs w:val="20"/>
          <w:color w:val="auto"/>
        </w:rPr>
      </w:pPr>
    </w:p>
    <w:p>
      <w:pPr>
        <w:ind w:left="20" w:right="180"/>
        <w:spacing w:after="0" w:line="259" w:lineRule="auto"/>
        <w:rPr>
          <w:sz w:val="20"/>
          <w:szCs w:val="20"/>
          <w:color w:val="auto"/>
        </w:rPr>
      </w:pPr>
      <w:r>
        <w:rPr>
          <w:rFonts w:ascii="Times New Roman" w:cs="Times New Roman" w:eastAsia="Times New Roman" w:hAnsi="Times New Roman"/>
          <w:sz w:val="20"/>
          <w:szCs w:val="20"/>
          <w:color w:val="454546"/>
        </w:rPr>
        <w:t>For the additional discovery programs, Foghorn will lead discovery and early research activities. Foghorn may receive up to a total of $1.3 billion in potential development and commercialization milestones. Additionally, Foghorn will have an option to participate in a percentage of the U.S. economics and is eligible to receive tiered royalties from the mid-single digit to low-double digit range on sales outside the U.S. that may be exercised after the successful completion of the dose-finding toxicity studies.</w:t>
      </w:r>
    </w:p>
    <w:p>
      <w:pPr>
        <w:spacing w:after="0" w:line="79" w:lineRule="exact"/>
        <w:rPr>
          <w:sz w:val="20"/>
          <w:szCs w:val="20"/>
          <w:color w:val="auto"/>
        </w:rPr>
      </w:pPr>
    </w:p>
    <w:p>
      <w:pPr>
        <w:ind w:left="20" w:right="600"/>
        <w:spacing w:after="0" w:line="287" w:lineRule="auto"/>
        <w:rPr>
          <w:sz w:val="20"/>
          <w:szCs w:val="20"/>
          <w:color w:val="auto"/>
        </w:rPr>
      </w:pPr>
      <w:r>
        <w:rPr>
          <w:rFonts w:ascii="Times New Roman" w:cs="Times New Roman" w:eastAsia="Times New Roman" w:hAnsi="Times New Roman"/>
          <w:sz w:val="20"/>
          <w:szCs w:val="20"/>
          <w:color w:val="454546"/>
        </w:rPr>
        <w:t>We cannot provide assurances as to the timing of future milestones, royalty payments and economics associated with the strategic collaboration with Lilly, if any.</w:t>
      </w:r>
    </w:p>
    <w:p>
      <w:pPr>
        <w:spacing w:after="0" w:line="50"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20"/>
          <w:szCs w:val="20"/>
          <w:color w:val="454546"/>
        </w:rPr>
        <w:t>In the third quarter of 2023, we transitioned the Selective SMARCA2 inhibitor, FHD-909, to Lilly, for which Lilly will lead and we will participate and share in 50% of the costs until at least registrational trials. Costs incurred will continue to be included in research and development expenses on the consolidated statements of operations and comprehensive loss.</w:t>
      </w:r>
    </w:p>
    <w:p>
      <w:pPr>
        <w:spacing w:after="0" w:line="66" w:lineRule="exact"/>
        <w:rPr>
          <w:sz w:val="20"/>
          <w:szCs w:val="20"/>
          <w:color w:val="auto"/>
        </w:rPr>
      </w:pPr>
    </w:p>
    <w:p>
      <w:pPr>
        <w:ind w:left="20" w:right="140"/>
        <w:spacing w:after="0" w:line="257" w:lineRule="auto"/>
        <w:rPr>
          <w:sz w:val="20"/>
          <w:szCs w:val="20"/>
          <w:color w:val="auto"/>
        </w:rPr>
      </w:pPr>
      <w:r>
        <w:rPr>
          <w:rFonts w:ascii="Times New Roman" w:cs="Times New Roman" w:eastAsia="Times New Roman" w:hAnsi="Times New Roman"/>
          <w:sz w:val="20"/>
          <w:szCs w:val="20"/>
          <w:color w:val="454546"/>
        </w:rPr>
        <w:t>We recognized total deferred revenue of $337.8 million related to the Lilly Collaboration Agreement and the Lilly SPA, which included the $300.0 million upfront payment under the Lilly Collaboration Agreement as well as $37.8 million allocated to deferred revenue from the gross proceeds of the Lilly SPA to be recognized over the performance period. For the years ended December 31, 2025 and 2024, we recognized $30.9 million and $22.6 million, respectively, of revenue under the Lilly Collaboration Agreement and, as of December 31, 2025, we had $249.2 million of deferred revenue related to the above mentioned upfront payment and revenue allocation remaining on our consolidated balance sheets.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454546"/>
        </w:rPr>
        <w:t>Operating Expenses</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Our operating expenses are comprised of research and development expenses and general and administrative expenses.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454546"/>
        </w:rPr>
        <w:t>Research and Development Expenses</w:t>
      </w:r>
    </w:p>
    <w:p>
      <w:pPr>
        <w:spacing w:after="0" w:line="128" w:lineRule="exact"/>
        <w:rPr>
          <w:sz w:val="20"/>
          <w:szCs w:val="20"/>
          <w:color w:val="auto"/>
        </w:rPr>
      </w:pPr>
    </w:p>
    <w:p>
      <w:pPr>
        <w:ind w:left="20" w:right="460"/>
        <w:spacing w:after="0" w:line="287" w:lineRule="auto"/>
        <w:rPr>
          <w:sz w:val="20"/>
          <w:szCs w:val="20"/>
          <w:color w:val="auto"/>
        </w:rPr>
      </w:pPr>
      <w:r>
        <w:rPr>
          <w:rFonts w:ascii="Times New Roman" w:cs="Times New Roman" w:eastAsia="Times New Roman" w:hAnsi="Times New Roman"/>
          <w:sz w:val="20"/>
          <w:szCs w:val="20"/>
          <w:color w:val="454546"/>
        </w:rPr>
        <w:t>Research and development expenses consist primarily of costs incurred to progress our proprietary and partnered pipeline, including our discovery efforts, which include:</w:t>
      </w:r>
    </w:p>
    <w:p>
      <w:pPr>
        <w:spacing w:after="0" w:line="50" w:lineRule="exact"/>
        <w:rPr>
          <w:sz w:val="20"/>
          <w:szCs w:val="20"/>
          <w:color w:val="auto"/>
        </w:rPr>
      </w:pPr>
    </w:p>
    <w:p>
      <w:pPr>
        <w:ind w:left="1100" w:right="620" w:hanging="549"/>
        <w:spacing w:after="0" w:line="287" w:lineRule="auto"/>
        <w:tabs>
          <w:tab w:leader="none" w:pos="11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personnel-related costs, including salaries, benefits, and stock-based compensation expense, for employees engaged in research and development functions;</w:t>
      </w:r>
    </w:p>
    <w:p>
      <w:pPr>
        <w:spacing w:after="0" w:line="49" w:lineRule="exact"/>
        <w:rPr>
          <w:rFonts w:ascii="Times New Roman" w:cs="Times New Roman" w:eastAsia="Times New Roman" w:hAnsi="Times New Roman"/>
          <w:sz w:val="20"/>
          <w:szCs w:val="20"/>
          <w:color w:val="454546"/>
        </w:rPr>
      </w:pPr>
    </w:p>
    <w:p>
      <w:pPr>
        <w:ind w:left="1100" w:right="520" w:hanging="549"/>
        <w:spacing w:after="0" w:line="269" w:lineRule="auto"/>
        <w:tabs>
          <w:tab w:leader="none" w:pos="11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expenses incurred in connection with our research programs and preclinical and clinical development of our product candidates, including under agreements with third parties, such as consultants and contractors and contract research organizations (“CROs”), and our collaboration partner;</w:t>
      </w:r>
    </w:p>
    <w:p>
      <w:pPr>
        <w:spacing w:after="0" w:line="177" w:lineRule="exact"/>
        <w:rPr>
          <w:rFonts w:ascii="Times New Roman" w:cs="Times New Roman" w:eastAsia="Times New Roman" w:hAnsi="Times New Roman"/>
          <w:sz w:val="20"/>
          <w:szCs w:val="20"/>
          <w:color w:val="454546"/>
        </w:rPr>
      </w:pPr>
    </w:p>
    <w:p>
      <w:pPr>
        <w:ind w:left="1100" w:right="220" w:hanging="549"/>
        <w:spacing w:after="0" w:line="259" w:lineRule="auto"/>
        <w:tabs>
          <w:tab w:leader="none" w:pos="11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cost of manufacturing drug substance and drug product for use in our research and preclinical studies and clinical trials under agreements with third parties, such as consultants and contractors and contract development and manufacturing organizations (“CDMOs”);</w:t>
      </w:r>
    </w:p>
    <w:p>
      <w:pPr>
        <w:spacing w:after="0" w:line="66" w:lineRule="exact"/>
        <w:rPr>
          <w:rFonts w:ascii="Times New Roman" w:cs="Times New Roman" w:eastAsia="Times New Roman" w:hAnsi="Times New Roman"/>
          <w:sz w:val="20"/>
          <w:szCs w:val="20"/>
          <w:color w:val="454546"/>
        </w:rPr>
      </w:pPr>
    </w:p>
    <w:p>
      <w:pPr>
        <w:ind w:left="1100" w:hanging="550"/>
        <w:spacing w:after="0"/>
        <w:tabs>
          <w:tab w:leader="none" w:pos="11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laboratory supplies and research materials;</w:t>
      </w:r>
    </w:p>
    <w:p>
      <w:pPr>
        <w:spacing w:after="0" w:line="129" w:lineRule="exact"/>
        <w:rPr>
          <w:rFonts w:ascii="Times New Roman" w:cs="Times New Roman" w:eastAsia="Times New Roman" w:hAnsi="Times New Roman"/>
          <w:sz w:val="20"/>
          <w:szCs w:val="20"/>
          <w:color w:val="454546"/>
        </w:rPr>
      </w:pPr>
    </w:p>
    <w:p>
      <w:pPr>
        <w:ind w:left="1100" w:right="160" w:hanging="550"/>
        <w:spacing w:after="0" w:line="287" w:lineRule="auto"/>
        <w:tabs>
          <w:tab w:leader="none" w:pos="110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facilities, depreciation and amortization and other expenses, which include direct and allocated expenses for rent and maintenance of facilities and insurance; and</w:t>
      </w:r>
    </w:p>
    <w:p>
      <w:pPr>
        <w:spacing w:after="0" w:line="49" w:lineRule="exact"/>
        <w:rPr>
          <w:rFonts w:ascii="Times New Roman" w:cs="Times New Roman" w:eastAsia="Times New Roman" w:hAnsi="Times New Roman"/>
          <w:sz w:val="20"/>
          <w:szCs w:val="20"/>
          <w:color w:val="454546"/>
        </w:rPr>
      </w:pPr>
    </w:p>
    <w:p>
      <w:pPr>
        <w:ind w:left="1080" w:hanging="530"/>
        <w:spacing w:after="0"/>
        <w:tabs>
          <w:tab w:leader="none" w:pos="1080" w:val="left"/>
        </w:tabs>
        <w:numPr>
          <w:ilvl w:val="0"/>
          <w:numId w:val="3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payments made under third-party licensing agreements.</w:t>
      </w:r>
    </w:p>
    <w:p>
      <w:pPr>
        <w:spacing w:after="0" w:line="13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454546"/>
        </w:rPr>
        <w:t>We track our direct external research and development expenses on a program-by-program basis. These consist of costs that include fees, reimbursed materials, and other costs paid to consultants, contractors, CDMOs, and CROs in connection with our preclinical, clinical and manufacturing activities. We do not allocate employee costs, costs associated with our discovery efforts, laboratory supplies, and facilities expenses, including depreciation or other indirect costs, to specific product</w:t>
      </w:r>
    </w:p>
    <w:p>
      <w:pPr>
        <w:sectPr>
          <w:pgSz w:w="11880" w:h="15480" w:orient="portrait"/>
          <w:cols w:equalWidth="0" w:num="1">
            <w:col w:w="10260"/>
          </w:cols>
          <w:pgMar w:left="80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66</w:t>
      </w:r>
    </w:p>
    <w:p>
      <w:pPr>
        <w:sectPr>
          <w:pgSz w:w="11880" w:h="15480" w:orient="portrait"/>
          <w:cols w:equalWidth="0" w:num="1">
            <w:col w:w="10260"/>
          </w:cols>
          <w:pgMar w:left="800" w:top="504" w:right="820" w:bottom="0" w:gutter="0" w:footer="0" w:header="0"/>
          <w:type w:val="continuous"/>
        </w:sectPr>
      </w:pPr>
    </w:p>
    <w:bookmarkStart w:id="68" w:name="page69"/>
    <w:bookmarkEnd w:id="68"/>
    <w:p>
      <w:pPr>
        <w:ind w:right="600"/>
        <w:spacing w:after="0" w:line="287" w:lineRule="auto"/>
        <w:rPr>
          <w:sz w:val="20"/>
          <w:szCs w:val="20"/>
          <w:color w:val="auto"/>
        </w:rPr>
      </w:pPr>
      <w:r>
        <w:rPr>
          <w:rFonts w:ascii="Times New Roman" w:cs="Times New Roman" w:eastAsia="Times New Roman" w:hAnsi="Times New Roman"/>
          <w:sz w:val="20"/>
          <w:szCs w:val="20"/>
          <w:color w:val="454546"/>
        </w:rPr>
        <w:t>development programs because these costs are deployed across multiple programs and our platform and, as such, are not separately classified.</w:t>
      </w:r>
    </w:p>
    <w:p>
      <w:pPr>
        <w:spacing w:after="0" w:line="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454546"/>
        </w:rPr>
        <w:t>We expect that our research and development expenses may increase in the future as we advance our programs into clinical development and continue our discovery, research and preclinical activities in the near term and in the future.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In addition, given the uncertainties associated with the current geopolitical and economic and trade environment, our research and development expenses may increase in an unpredictable manner.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General and Administrative Expenses</w:t>
      </w:r>
    </w:p>
    <w:p>
      <w:pPr>
        <w:spacing w:after="0" w:line="12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0"/>
          <w:szCs w:val="20"/>
          <w:color w:val="454546"/>
        </w:rPr>
        <w:t>General and administrative expenses consist primarily of personnel-related costs, including salaries, benefits, and stock-based compensation, for employees engaged in executive, finance and accounting, legal, and other administrative functions. General and administrative expenses also include professional fees for legal, patent, consulting, investor and public relations, human resources, and accounting and audit services as well as direct and allocated facility-related costs.</w:t>
      </w:r>
    </w:p>
    <w:p>
      <w:pPr>
        <w:spacing w:after="0" w:line="7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20"/>
          <w:szCs w:val="20"/>
          <w:color w:val="454546"/>
        </w:rPr>
        <w:t>We anticipate that our general and administrative expenses may increase in the future as we continue to support our continued research activities and development of our programs and platform. We also anticipate that we will continue to incur increased accounting, audit, legal, regulatory, compliance, director and officer insurance costs and investor and public relations expenses associated with operating as a public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Other Income, Net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Interest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Interest income consists of interest earned on our invested cash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Other Income, Net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Other income, net consists of sublease income and miscellaneous expense unrelated to our core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Provision for Income Taxes</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454546"/>
        </w:rPr>
        <w:t>Since our inception, we have not recorded any federal or state income tax benefits for the net losses we have incurred in any year or for our federal or state earned research and development tax credits, due to our uncertainty of realizing a benefit from those items. During the years ended December 31, 2025 and 2024, we recorded no provision for income taxes. As of December 31, 2025, we had federal net operating loss carryforwards of $198.5 million, which may be available to offset future taxable income. The federal net operating loss can be carried forward indefinitely but are limited to offset 80% of annual taxable income. As of December 31, 2025, we also had U.S. federal and state research and development tax credit carryforwards of $9.4 million and $3.7 million, respectively, which may be available to reduce future tax liabilities and expire at various dates beginning in 2043 and 2037, respectively. Due to our history of cumulative net losses since inception and uncertainties surrounding our ability to generate future taxable income, we have recorded a full valuation allowance against our net deferred tax assets at each balance sheet date. We do not expect to have taxable income in the current year.</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On July 4, 2025, the One Big Beautiful Bill Act (“OBBBA”) was enacted in the U.S. The OBBBA provides for, among other things,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statements. The most significant impact is the provision allowing for immediate expensing of certain research and development expenses. The Company has implemented the two-year accelerated expensing under the OBBBA causing the previously capitalized US R&amp;D expenses, amortized over 5 years, to be accelerated over two years. Note that the Company will continue to assess its overall business up until the filing of the 2025 federal tax return and may change its election under IRC Section 174A if it determines there is a more beneficial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Accounting Estimates</w:t>
      </w:r>
    </w:p>
    <w:p>
      <w:pPr>
        <w:spacing w:after="0" w:line="13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9"/>
          <w:szCs w:val="19"/>
          <w:color w:val="454546"/>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liabilities, revenue, costs and expenses and the disclosure of</w:t>
      </w:r>
    </w:p>
    <w:p>
      <w:pPr>
        <w:sectPr>
          <w:pgSz w:w="11880" w:h="15480" w:orient="portrait"/>
          <w:cols w:equalWidth="0" w:num="1">
            <w:col w:w="10240"/>
          </w:cols>
          <w:pgMar w:left="820" w:top="504" w:right="82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67</w:t>
      </w:r>
    </w:p>
    <w:p>
      <w:pPr>
        <w:sectPr>
          <w:pgSz w:w="11880" w:h="15480" w:orient="portrait"/>
          <w:cols w:equalWidth="0" w:num="1">
            <w:col w:w="10240"/>
          </w:cols>
          <w:pgMar w:left="820" w:top="504" w:right="820" w:bottom="0" w:gutter="0" w:footer="0" w:header="0"/>
          <w:type w:val="continuous"/>
        </w:sectPr>
      </w:pPr>
    </w:p>
    <w:bookmarkStart w:id="69" w:name="page70"/>
    <w:bookmarkEnd w:id="69"/>
    <w:p>
      <w:pPr>
        <w:ind w:right="20"/>
        <w:spacing w:after="0" w:line="259" w:lineRule="auto"/>
        <w:rPr>
          <w:sz w:val="20"/>
          <w:szCs w:val="20"/>
          <w:color w:val="auto"/>
        </w:rPr>
      </w:pPr>
      <w:r>
        <w:rPr>
          <w:rFonts w:ascii="Times New Roman" w:cs="Times New Roman" w:eastAsia="Times New Roman" w:hAnsi="Times New Roman"/>
          <w:sz w:val="20"/>
          <w:szCs w:val="20"/>
          <w:color w:val="454546"/>
        </w:rPr>
        <w:t>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454546"/>
        </w:rPr>
        <w:t>While our significant accounting policies are described in more detail in Note 2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Revenue Recognition</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We received significant non-refundable upfront payments under our collaboration agreements with Lilly, from which we recognize revenue over time using the cost-to-cost method. Under the cost-to-cost method, the extent of progress towards completion is measured based on the ratio of actual costs incurred to the total estimated costs expected upon satisfying the identified single performance obligation. In estimating the total costs to satisfy our performance obligation, we are required to make significant estimates including an estimate of the expected time and expected internal and external costs to fulfill the performance obligation. In developing these estimates we consider historical experience, relevant entity-specific factors, known market trends and conditions, and a variety of other factors we believe are relevant to estimating the total cost to fulfill the performance obligation. We periodically evaluate estimates against the actual time and costs incurred as well as any anticipated changes to the timing or estimated costs. Any cumulative effect of revisions to the total estimated costs to complete our performance obligation will be recorded in the period in which the changes are identified, and amounts can be reasonably estimated. A significant change in these assumptions and estimates could have a material impact on the timing and amount of revenue recognized in future periods and the classification of deferred revenue between short-term and long-term.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Accrued Research and Development Expenses</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As part of the process of preparing our consolidated financial statements, we are required to estimate certain accrued research and development expenses. This process involves estimating the level of service performed and the associated cost incurred for the service when we have not yet been invoiced or otherwise notified of actual costs. We make estimates of our accrued expenses as of each balance sheet date in our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those related to fees paid to:</w:t>
      </w:r>
    </w:p>
    <w:p>
      <w:pPr>
        <w:spacing w:after="0" w:line="83" w:lineRule="exact"/>
        <w:rPr>
          <w:sz w:val="20"/>
          <w:szCs w:val="20"/>
          <w:color w:val="auto"/>
        </w:rPr>
      </w:pPr>
    </w:p>
    <w:p>
      <w:pPr>
        <w:ind w:left="1080" w:hanging="549"/>
        <w:spacing w:after="0"/>
        <w:tabs>
          <w:tab w:leader="none" w:pos="1080" w:val="left"/>
        </w:tabs>
        <w:numPr>
          <w:ilvl w:val="0"/>
          <w:numId w:val="3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vendors in connection with discovery, preclinical and clinical development activities;</w:t>
      </w:r>
    </w:p>
    <w:p>
      <w:pPr>
        <w:spacing w:after="0" w:line="129" w:lineRule="exact"/>
        <w:rPr>
          <w:rFonts w:ascii="Times New Roman" w:cs="Times New Roman" w:eastAsia="Times New Roman" w:hAnsi="Times New Roman"/>
          <w:sz w:val="20"/>
          <w:szCs w:val="20"/>
          <w:color w:val="454546"/>
        </w:rPr>
      </w:pPr>
    </w:p>
    <w:p>
      <w:pPr>
        <w:ind w:left="1080" w:hanging="549"/>
        <w:spacing w:after="0"/>
        <w:tabs>
          <w:tab w:leader="none" w:pos="1080" w:val="left"/>
        </w:tabs>
        <w:numPr>
          <w:ilvl w:val="0"/>
          <w:numId w:val="3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CROs in connection with preclinical studies and testing and clinical trials; and</w:t>
      </w:r>
    </w:p>
    <w:p>
      <w:pPr>
        <w:spacing w:after="0" w:line="129" w:lineRule="exact"/>
        <w:rPr>
          <w:rFonts w:ascii="Times New Roman" w:cs="Times New Roman" w:eastAsia="Times New Roman" w:hAnsi="Times New Roman"/>
          <w:sz w:val="20"/>
          <w:szCs w:val="20"/>
          <w:color w:val="454546"/>
        </w:rPr>
      </w:pPr>
    </w:p>
    <w:p>
      <w:pPr>
        <w:ind w:left="1080" w:hanging="549"/>
        <w:spacing w:after="0" w:line="287" w:lineRule="auto"/>
        <w:tabs>
          <w:tab w:leader="none" w:pos="1080" w:val="left"/>
        </w:tabs>
        <w:numPr>
          <w:ilvl w:val="0"/>
          <w:numId w:val="3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CDMOs in connection with the process development and scale up activities and the production and manufacturing of materials.</w:t>
      </w:r>
    </w:p>
    <w:p>
      <w:pPr>
        <w:spacing w:after="0" w:line="5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454546"/>
        </w:rPr>
        <w:t>We base the expense recorded related to contract research and manufacturing on our estimates of the services received and efforts expended pursuant to quotes and contracts with multiple CROs and CDMOs that conduct services and produce and supply materials. The financial terms of these agreements are subject to negotiation, vary from contract to contract and may result in uneven payment flows. In accruing service fees, we estimate the time period over which services will be performed and the level of effort to be expended in each period. If the actual timing of the performance of services or the level of effort varies from the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While the majority of our service providers invoice us in arrears for services performed, on a pre-determined schedule or when contractual milestones are met, some require advance payments. There may be instances in which payments made to our vendors will exceed the level of services provided and result in a prepayment of the expense. We record these as prepaid expenses on our consolidated balance sheets.</w:t>
      </w:r>
    </w:p>
    <w:p>
      <w:pPr>
        <w:sectPr>
          <w:pgSz w:w="11880" w:h="15480" w:orient="portrait"/>
          <w:cols w:equalWidth="0" w:num="1">
            <w:col w:w="10220"/>
          </w:cols>
          <w:pgMar w:left="820" w:top="5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68</w:t>
      </w:r>
    </w:p>
    <w:p>
      <w:pPr>
        <w:sectPr>
          <w:pgSz w:w="11880" w:h="15480" w:orient="portrait"/>
          <w:cols w:equalWidth="0" w:num="1">
            <w:col w:w="10220"/>
          </w:cols>
          <w:pgMar w:left="820" w:top="504" w:right="840" w:bottom="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20"/>
          <w:szCs w:val="20"/>
          <w:b w:val="1"/>
          <w:bCs w:val="1"/>
          <w:color w:val="454546"/>
        </w:rPr>
        <w:t>Results of Operations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Comparison of the Years Ended December 31, 2025 and 2024</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The following table summarizes our results of operations for the years ended December 31,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2360" w:type="dxa"/>
            <w:vAlign w:val="bottom"/>
            <w:tcBorders>
              <w:bottom w:val="single" w:sz="8" w:color="231F20"/>
            </w:tcBorders>
            <w:gridSpan w:val="5"/>
          </w:tcPr>
          <w:p>
            <w:pPr>
              <w:jc w:val="right"/>
              <w:ind w:right="362"/>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4"/>
        </w:trPr>
        <w:tc>
          <w:tcPr>
            <w:tcW w:w="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454546"/>
              </w:rPr>
              <w:t>Change</w:t>
            </w:r>
          </w:p>
        </w:tc>
      </w:tr>
      <w:tr>
        <w:trPr>
          <w:trHeight w:val="229"/>
        </w:trPr>
        <w:tc>
          <w:tcPr>
            <w:tcW w:w="6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6"/>
        </w:trPr>
        <w:tc>
          <w:tcPr>
            <w:tcW w:w="60" w:type="dxa"/>
            <w:vAlign w:val="bottom"/>
            <w:shd w:val="clear" w:color="auto" w:fill="E3E4E5"/>
          </w:tcPr>
          <w:p>
            <w:pPr>
              <w:spacing w:after="0"/>
              <w:rPr>
                <w:sz w:val="24"/>
                <w:szCs w:val="24"/>
                <w:color w:val="auto"/>
              </w:rPr>
            </w:pPr>
          </w:p>
        </w:tc>
        <w:tc>
          <w:tcPr>
            <w:tcW w:w="612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Collaboration revenue</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30,909</w:t>
            </w:r>
          </w:p>
        </w:tc>
        <w:tc>
          <w:tcPr>
            <w:tcW w:w="60" w:type="dxa"/>
            <w:vAlign w:val="bottom"/>
            <w:shd w:val="clear" w:color="auto" w:fill="E3E4E5"/>
          </w:tcPr>
          <w:p>
            <w:pPr>
              <w:spacing w:after="0"/>
              <w:rPr>
                <w:sz w:val="24"/>
                <w:szCs w:val="24"/>
                <w:color w:val="auto"/>
              </w:rPr>
            </w:pPr>
          </w:p>
        </w:tc>
        <w:tc>
          <w:tcPr>
            <w:tcW w:w="34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22,602</w:t>
            </w:r>
          </w:p>
        </w:tc>
        <w:tc>
          <w:tcPr>
            <w:tcW w:w="60" w:type="dxa"/>
            <w:vAlign w:val="bottom"/>
            <w:shd w:val="clear" w:color="auto" w:fill="E3E4E5"/>
          </w:tcPr>
          <w:p>
            <w:pPr>
              <w:spacing w:after="0"/>
              <w:rPr>
                <w:sz w:val="24"/>
                <w:szCs w:val="24"/>
                <w:color w:val="auto"/>
              </w:rPr>
            </w:pPr>
          </w:p>
        </w:tc>
        <w:tc>
          <w:tcPr>
            <w:tcW w:w="2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8,307</w:t>
            </w:r>
          </w:p>
        </w:tc>
      </w:tr>
      <w:tr>
        <w:trPr>
          <w:trHeight w:val="257"/>
        </w:trPr>
        <w:tc>
          <w:tcPr>
            <w:tcW w:w="60" w:type="dxa"/>
            <w:vAlign w:val="bottom"/>
          </w:tcPr>
          <w:p>
            <w:pPr>
              <w:spacing w:after="0"/>
              <w:rPr>
                <w:sz w:val="22"/>
                <w:szCs w:val="22"/>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Operating expenses:</w:t>
            </w:r>
          </w:p>
        </w:tc>
        <w:tc>
          <w:tcPr>
            <w:tcW w:w="320" w:type="dxa"/>
            <w:vAlign w:val="bottom"/>
            <w:tcBorders>
              <w:top w:val="single" w:sz="8" w:color="231F20"/>
            </w:tcBorders>
          </w:tcPr>
          <w:p>
            <w:pPr>
              <w:spacing w:after="0"/>
              <w:rPr>
                <w:sz w:val="22"/>
                <w:szCs w:val="22"/>
                <w:color w:val="auto"/>
              </w:rPr>
            </w:pPr>
          </w:p>
        </w:tc>
        <w:tc>
          <w:tcPr>
            <w:tcW w:w="980" w:type="dxa"/>
            <w:vAlign w:val="bottom"/>
            <w:tcBorders>
              <w:top w:val="single" w:sz="8" w:color="231F2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231F20"/>
            </w:tcBorders>
          </w:tcPr>
          <w:p>
            <w:pPr>
              <w:spacing w:after="0"/>
              <w:rPr>
                <w:sz w:val="22"/>
                <w:szCs w:val="22"/>
                <w:color w:val="auto"/>
              </w:rPr>
            </w:pPr>
          </w:p>
        </w:tc>
        <w:tc>
          <w:tcPr>
            <w:tcW w:w="980" w:type="dxa"/>
            <w:vAlign w:val="bottom"/>
            <w:tcBorders>
              <w:top w:val="single" w:sz="8" w:color="231F2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231F20"/>
            </w:tcBorders>
          </w:tcPr>
          <w:p>
            <w:pPr>
              <w:spacing w:after="0"/>
              <w:rPr>
                <w:sz w:val="22"/>
                <w:szCs w:val="22"/>
                <w:color w:val="auto"/>
              </w:rPr>
            </w:pPr>
          </w:p>
        </w:tc>
        <w:tc>
          <w:tcPr>
            <w:tcW w:w="1040" w:type="dxa"/>
            <w:vAlign w:val="bottom"/>
            <w:tcBorders>
              <w:top w:val="single" w:sz="8" w:color="231F20"/>
            </w:tcBorders>
          </w:tcPr>
          <w:p>
            <w:pPr>
              <w:spacing w:after="0"/>
              <w:rPr>
                <w:sz w:val="22"/>
                <w:szCs w:val="22"/>
                <w:color w:val="auto"/>
              </w:rPr>
            </w:pPr>
          </w:p>
        </w:tc>
      </w:tr>
      <w:tr>
        <w:trPr>
          <w:trHeight w:val="294"/>
        </w:trPr>
        <w:tc>
          <w:tcPr>
            <w:tcW w:w="60" w:type="dxa"/>
            <w:vAlign w:val="bottom"/>
            <w:shd w:val="clear" w:color="auto" w:fill="E3E4E5"/>
          </w:tcPr>
          <w:p>
            <w:pPr>
              <w:spacing w:after="0"/>
              <w:rPr>
                <w:sz w:val="24"/>
                <w:szCs w:val="24"/>
                <w:color w:val="auto"/>
              </w:rPr>
            </w:pPr>
          </w:p>
        </w:tc>
        <w:tc>
          <w:tcPr>
            <w:tcW w:w="606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85,466</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94,528</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(9,062)</w:t>
            </w:r>
          </w:p>
        </w:tc>
      </w:tr>
      <w:tr>
        <w:trPr>
          <w:trHeight w:val="276"/>
        </w:trPr>
        <w:tc>
          <w:tcPr>
            <w:tcW w:w="60" w:type="dxa"/>
            <w:vAlign w:val="bottom"/>
          </w:tcPr>
          <w:p>
            <w:pPr>
              <w:spacing w:after="0"/>
              <w:rPr>
                <w:sz w:val="24"/>
                <w:szCs w:val="24"/>
                <w:color w:val="auto"/>
              </w:rPr>
            </w:pPr>
          </w:p>
        </w:tc>
        <w:tc>
          <w:tcPr>
            <w:tcW w:w="61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General and administrative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27,550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28,359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(809)</w:t>
            </w:r>
          </w:p>
        </w:tc>
      </w:tr>
      <w:tr>
        <w:trPr>
          <w:trHeight w:val="293"/>
        </w:trPr>
        <w:tc>
          <w:tcPr>
            <w:tcW w:w="60" w:type="dxa"/>
            <w:vAlign w:val="bottom"/>
            <w:shd w:val="clear" w:color="auto" w:fill="E3E4E5"/>
          </w:tcPr>
          <w:p>
            <w:pPr>
              <w:spacing w:after="0"/>
              <w:rPr>
                <w:sz w:val="24"/>
                <w:szCs w:val="24"/>
                <w:color w:val="auto"/>
              </w:rPr>
            </w:pPr>
          </w:p>
        </w:tc>
        <w:tc>
          <w:tcPr>
            <w:tcW w:w="606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Gain on lease modification</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(1,632)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(1,632)</w:t>
            </w:r>
          </w:p>
        </w:tc>
      </w:tr>
      <w:tr>
        <w:trPr>
          <w:trHeight w:val="285"/>
        </w:trPr>
        <w:tc>
          <w:tcPr>
            <w:tcW w:w="60" w:type="dxa"/>
            <w:vAlign w:val="bottom"/>
            <w:tcBorders>
              <w:bottom w:val="single" w:sz="8" w:color="E3E4E5"/>
            </w:tcBorders>
          </w:tcPr>
          <w:p>
            <w:pPr>
              <w:spacing w:after="0"/>
              <w:rPr>
                <w:sz w:val="24"/>
                <w:szCs w:val="24"/>
                <w:color w:val="auto"/>
              </w:rPr>
            </w:pPr>
          </w:p>
        </w:tc>
        <w:tc>
          <w:tcPr>
            <w:tcW w:w="612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Impairment of long-lived assets</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5,914</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2,398</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3,516</w:t>
            </w:r>
          </w:p>
        </w:tc>
      </w:tr>
      <w:tr>
        <w:trPr>
          <w:trHeight w:val="266"/>
        </w:trPr>
        <w:tc>
          <w:tcPr>
            <w:tcW w:w="60" w:type="dxa"/>
            <w:vAlign w:val="bottom"/>
            <w:shd w:val="clear" w:color="auto" w:fill="E3E4E5"/>
          </w:tcPr>
          <w:p>
            <w:pPr>
              <w:spacing w:after="0"/>
              <w:rPr>
                <w:sz w:val="23"/>
                <w:szCs w:val="23"/>
                <w:color w:val="auto"/>
              </w:rPr>
            </w:pPr>
          </w:p>
        </w:tc>
        <w:tc>
          <w:tcPr>
            <w:tcW w:w="606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Total operating expenses</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tcBorders>
              <w:bottom w:val="single" w:sz="8" w:color="231F20"/>
            </w:tcBorders>
            <w:shd w:val="clear" w:color="auto" w:fill="E3E4E5"/>
          </w:tcPr>
          <w:p>
            <w:pPr>
              <w:spacing w:after="0"/>
              <w:rPr>
                <w:sz w:val="23"/>
                <w:szCs w:val="23"/>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117,298</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tcBorders>
              <w:bottom w:val="single" w:sz="8" w:color="231F20"/>
            </w:tcBorders>
            <w:shd w:val="clear" w:color="auto" w:fill="E3E4E5"/>
          </w:tcPr>
          <w:p>
            <w:pPr>
              <w:spacing w:after="0"/>
              <w:rPr>
                <w:sz w:val="23"/>
                <w:szCs w:val="23"/>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125,285</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260" w:type="dxa"/>
            <w:vAlign w:val="bottom"/>
            <w:tcBorders>
              <w:bottom w:val="single" w:sz="8" w:color="231F20"/>
            </w:tcBorders>
            <w:shd w:val="clear" w:color="auto" w:fill="E3E4E5"/>
          </w:tcPr>
          <w:p>
            <w:pPr>
              <w:spacing w:after="0"/>
              <w:rPr>
                <w:sz w:val="23"/>
                <w:szCs w:val="23"/>
                <w:color w:val="auto"/>
              </w:rPr>
            </w:pP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(7,987)</w:t>
            </w:r>
          </w:p>
        </w:tc>
      </w:tr>
      <w:tr>
        <w:trPr>
          <w:trHeight w:val="263"/>
        </w:trPr>
        <w:tc>
          <w:tcPr>
            <w:tcW w:w="60" w:type="dxa"/>
            <w:vAlign w:val="bottom"/>
          </w:tcPr>
          <w:p>
            <w:pPr>
              <w:spacing w:after="0"/>
              <w:rPr>
                <w:sz w:val="22"/>
                <w:szCs w:val="22"/>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Loss from operations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(86,389)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(102,683)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16,294</w:t>
            </w:r>
          </w:p>
        </w:tc>
      </w:tr>
      <w:tr>
        <w:trPr>
          <w:trHeight w:val="286"/>
        </w:trPr>
        <w:tc>
          <w:tcPr>
            <w:tcW w:w="60" w:type="dxa"/>
            <w:vAlign w:val="bottom"/>
            <w:shd w:val="clear" w:color="auto" w:fill="E3E4E5"/>
          </w:tcPr>
          <w:p>
            <w:pPr>
              <w:spacing w:after="0"/>
              <w:rPr>
                <w:sz w:val="24"/>
                <w:szCs w:val="24"/>
                <w:color w:val="auto"/>
              </w:rPr>
            </w:pPr>
          </w:p>
        </w:tc>
        <w:tc>
          <w:tcPr>
            <w:tcW w:w="60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40" w:type="dxa"/>
            <w:vAlign w:val="bottom"/>
            <w:shd w:val="clear" w:color="auto" w:fill="E3E4E5"/>
          </w:tcPr>
          <w:p>
            <w:pPr>
              <w:spacing w:after="0"/>
              <w:rPr>
                <w:sz w:val="24"/>
                <w:szCs w:val="24"/>
                <w:color w:val="auto"/>
              </w:rPr>
            </w:pPr>
          </w:p>
        </w:tc>
      </w:tr>
      <w:tr>
        <w:trPr>
          <w:trHeight w:val="278"/>
        </w:trPr>
        <w:tc>
          <w:tcPr>
            <w:tcW w:w="60" w:type="dxa"/>
            <w:vAlign w:val="bottom"/>
          </w:tcPr>
          <w:p>
            <w:pPr>
              <w:spacing w:after="0"/>
              <w:rPr>
                <w:sz w:val="24"/>
                <w:szCs w:val="24"/>
                <w:color w:val="auto"/>
              </w:rPr>
            </w:pPr>
          </w:p>
        </w:tc>
        <w:tc>
          <w:tcPr>
            <w:tcW w:w="61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Interest income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8,745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11,900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(3,155)</w:t>
            </w:r>
          </w:p>
        </w:tc>
      </w:tr>
      <w:tr>
        <w:trPr>
          <w:trHeight w:val="293"/>
        </w:trPr>
        <w:tc>
          <w:tcPr>
            <w:tcW w:w="60" w:type="dxa"/>
            <w:vAlign w:val="bottom"/>
            <w:shd w:val="clear" w:color="auto" w:fill="E3E4E5"/>
          </w:tcPr>
          <w:p>
            <w:pPr>
              <w:spacing w:after="0"/>
              <w:rPr>
                <w:sz w:val="24"/>
                <w:szCs w:val="24"/>
                <w:color w:val="auto"/>
              </w:rPr>
            </w:pPr>
          </w:p>
        </w:tc>
        <w:tc>
          <w:tcPr>
            <w:tcW w:w="606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Other income, net</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3,361</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4,163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(802)</w:t>
            </w:r>
          </w:p>
        </w:tc>
      </w:tr>
      <w:tr>
        <w:trPr>
          <w:trHeight w:val="265"/>
        </w:trPr>
        <w:tc>
          <w:tcPr>
            <w:tcW w:w="60" w:type="dxa"/>
            <w:vAlign w:val="bottom"/>
            <w:tcBorders>
              <w:bottom w:val="single" w:sz="8" w:color="E3E4E5"/>
            </w:tcBorders>
          </w:tcPr>
          <w:p>
            <w:pPr>
              <w:spacing w:after="0"/>
              <w:rPr>
                <w:sz w:val="23"/>
                <w:szCs w:val="23"/>
                <w:color w:val="auto"/>
              </w:rPr>
            </w:pPr>
          </w:p>
        </w:tc>
        <w:tc>
          <w:tcPr>
            <w:tcW w:w="6120" w:type="dxa"/>
            <w:vAlign w:val="bottom"/>
            <w:tcBorders>
              <w:bottom w:val="single" w:sz="8" w:color="E3E4E5"/>
            </w:tcBorders>
            <w:gridSpan w:val="3"/>
          </w:tcPr>
          <w:p>
            <w:pPr>
              <w:ind w:left="720"/>
              <w:spacing w:after="0"/>
              <w:rPr>
                <w:sz w:val="20"/>
                <w:szCs w:val="20"/>
                <w:color w:val="auto"/>
              </w:rPr>
            </w:pPr>
            <w:r>
              <w:rPr>
                <w:rFonts w:ascii="Times New Roman" w:cs="Times New Roman" w:eastAsia="Times New Roman" w:hAnsi="Times New Roman"/>
                <w:sz w:val="20"/>
                <w:szCs w:val="20"/>
                <w:color w:val="454546"/>
              </w:rPr>
              <w:t>Total other income, net</w:t>
            </w: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12,106</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16,063</w:t>
            </w:r>
          </w:p>
        </w:tc>
        <w:tc>
          <w:tcPr>
            <w:tcW w:w="6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(3,957)</w:t>
            </w:r>
          </w:p>
        </w:tc>
      </w:tr>
      <w:tr>
        <w:trPr>
          <w:trHeight w:val="280"/>
        </w:trPr>
        <w:tc>
          <w:tcPr>
            <w:tcW w:w="60" w:type="dxa"/>
            <w:vAlign w:val="bottom"/>
            <w:shd w:val="clear" w:color="auto" w:fill="E3E4E5"/>
          </w:tcPr>
          <w:p>
            <w:pPr>
              <w:spacing w:after="0"/>
              <w:rPr>
                <w:sz w:val="24"/>
                <w:szCs w:val="24"/>
                <w:color w:val="auto"/>
              </w:rPr>
            </w:pPr>
          </w:p>
        </w:tc>
        <w:tc>
          <w:tcPr>
            <w:tcW w:w="60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Net loss</w:t>
            </w:r>
          </w:p>
        </w:tc>
        <w:tc>
          <w:tcPr>
            <w:tcW w:w="4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(74,283)</w:t>
            </w:r>
          </w:p>
        </w:tc>
        <w:tc>
          <w:tcPr>
            <w:tcW w:w="60" w:type="dxa"/>
            <w:vAlign w:val="bottom"/>
            <w:shd w:val="clear" w:color="auto" w:fill="E3E4E5"/>
          </w:tcPr>
          <w:p>
            <w:pPr>
              <w:spacing w:after="0"/>
              <w:rPr>
                <w:sz w:val="24"/>
                <w:szCs w:val="24"/>
                <w:color w:val="auto"/>
              </w:rPr>
            </w:pPr>
          </w:p>
        </w:tc>
        <w:tc>
          <w:tcPr>
            <w:tcW w:w="340" w:type="dxa"/>
            <w:vAlign w:val="bottom"/>
            <w:tcBorders>
              <w:bottom w:val="single" w:sz="8" w:color="231F20"/>
            </w:tcBorders>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(86,620)</w:t>
            </w:r>
          </w:p>
        </w:tc>
        <w:tc>
          <w:tcPr>
            <w:tcW w:w="60" w:type="dxa"/>
            <w:vAlign w:val="bottom"/>
            <w:shd w:val="clear" w:color="auto" w:fill="E3E4E5"/>
          </w:tcPr>
          <w:p>
            <w:pPr>
              <w:spacing w:after="0"/>
              <w:rPr>
                <w:sz w:val="24"/>
                <w:szCs w:val="24"/>
                <w:color w:val="auto"/>
              </w:rPr>
            </w:pPr>
          </w:p>
        </w:tc>
        <w:tc>
          <w:tcPr>
            <w:tcW w:w="280" w:type="dxa"/>
            <w:vAlign w:val="bottom"/>
            <w:tcBorders>
              <w:bottom w:val="single" w:sz="8" w:color="231F20"/>
            </w:tcBorders>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12,337</w:t>
            </w:r>
          </w:p>
        </w:tc>
      </w:tr>
      <w:tr>
        <w:trPr>
          <w:trHeight w:val="20"/>
        </w:trPr>
        <w:tc>
          <w:tcPr>
            <w:tcW w:w="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Collaboration Revenue</w:t>
      </w:r>
    </w:p>
    <w:p>
      <w:pPr>
        <w:spacing w:after="0" w:line="128" w:lineRule="exact"/>
        <w:rPr>
          <w:sz w:val="20"/>
          <w:szCs w:val="20"/>
          <w:color w:val="auto"/>
        </w:rPr>
      </w:pPr>
    </w:p>
    <w:p>
      <w:pPr>
        <w:ind w:left="60" w:right="60"/>
        <w:spacing w:after="0" w:line="262" w:lineRule="auto"/>
        <w:rPr>
          <w:sz w:val="20"/>
          <w:szCs w:val="20"/>
          <w:color w:val="auto"/>
        </w:rPr>
      </w:pPr>
      <w:r>
        <w:rPr>
          <w:rFonts w:ascii="Times New Roman" w:cs="Times New Roman" w:eastAsia="Times New Roman" w:hAnsi="Times New Roman"/>
          <w:sz w:val="20"/>
          <w:szCs w:val="20"/>
          <w:color w:val="454546"/>
        </w:rPr>
        <w:t>Under the Lilly Collaboration Agreement, revenue is recognized based on the work performed during the period. Collaboration revenue was $30.9 million for the year ended December 31, 2025, compared to $22.6 million for the year ended December 31, 2024. The increase in collaboration revenue is attributed to continued advancement of programs under the Lilly Collaboration Agreement.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Research and Development Expenses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The following table summarizes our research and development expenses for the years ended December 31,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2380" w:type="dxa"/>
            <w:vAlign w:val="bottom"/>
            <w:tcBorders>
              <w:bottom w:val="single" w:sz="8" w:color="231F20"/>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360" w:type="dxa"/>
            <w:vAlign w:val="bottom"/>
          </w:tcPr>
          <w:p>
            <w:pPr>
              <w:spacing w:after="0"/>
              <w:rPr>
                <w:sz w:val="19"/>
                <w:szCs w:val="19"/>
                <w:color w:val="auto"/>
              </w:rPr>
            </w:pPr>
          </w:p>
        </w:tc>
        <w:tc>
          <w:tcPr>
            <w:tcW w:w="1020" w:type="dxa"/>
            <w:vAlign w:val="bottom"/>
            <w:vMerge w:val="restart"/>
          </w:tcPr>
          <w:p>
            <w:pPr>
              <w:jc w:val="right"/>
              <w:ind w:right="287"/>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0" w:type="dxa"/>
            <w:vAlign w:val="bottom"/>
          </w:tcPr>
          <w:p>
            <w:pPr>
              <w:spacing w:after="0"/>
              <w:rPr>
                <w:sz w:val="1"/>
                <w:szCs w:val="1"/>
                <w:color w:val="auto"/>
              </w:rPr>
            </w:pPr>
          </w:p>
        </w:tc>
      </w:tr>
      <w:tr>
        <w:trPr>
          <w:trHeight w:val="221"/>
        </w:trPr>
        <w:tc>
          <w:tcPr>
            <w:tcW w:w="618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4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36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1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Research and development program expenses:</w:t>
            </w:r>
          </w:p>
        </w:tc>
        <w:tc>
          <w:tcPr>
            <w:tcW w:w="30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114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0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180" w:type="dxa"/>
            <w:vAlign w:val="bottom"/>
          </w:tcPr>
          <w:p>
            <w:pPr>
              <w:ind w:left="420"/>
              <w:spacing w:after="0"/>
              <w:rPr>
                <w:sz w:val="20"/>
                <w:szCs w:val="20"/>
                <w:color w:val="auto"/>
              </w:rPr>
            </w:pPr>
            <w:r>
              <w:rPr>
                <w:rFonts w:ascii="Times New Roman" w:cs="Times New Roman" w:eastAsia="Times New Roman" w:hAnsi="Times New Roman"/>
                <w:sz w:val="20"/>
                <w:szCs w:val="20"/>
                <w:color w:val="454546"/>
              </w:rPr>
              <w:t>FHD-286</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916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Pr>
          <w:p>
            <w:pPr>
              <w:ind w:left="520"/>
              <w:spacing w:after="0"/>
              <w:rPr>
                <w:sz w:val="20"/>
                <w:szCs w:val="20"/>
                <w:color w:val="auto"/>
              </w:rPr>
            </w:pPr>
            <w:r>
              <w:rPr>
                <w:rFonts w:ascii="Times New Roman" w:cs="Times New Roman" w:eastAsia="Times New Roman" w:hAnsi="Times New Roman"/>
                <w:sz w:val="20"/>
                <w:szCs w:val="20"/>
                <w:color w:val="454546"/>
              </w:rPr>
              <w:t>11,136</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(10,220)</w:t>
            </w:r>
          </w:p>
        </w:tc>
        <w:tc>
          <w:tcPr>
            <w:tcW w:w="0" w:type="dxa"/>
            <w:vAlign w:val="bottom"/>
          </w:tcPr>
          <w:p>
            <w:pPr>
              <w:spacing w:after="0"/>
              <w:rPr>
                <w:sz w:val="1"/>
                <w:szCs w:val="1"/>
                <w:color w:val="auto"/>
              </w:rPr>
            </w:pPr>
          </w:p>
        </w:tc>
      </w:tr>
      <w:tr>
        <w:trPr>
          <w:trHeight w:val="271"/>
        </w:trPr>
        <w:tc>
          <w:tcPr>
            <w:tcW w:w="6180" w:type="dxa"/>
            <w:vAlign w:val="bottom"/>
            <w:shd w:val="clear" w:color="auto" w:fill="E3E4E5"/>
          </w:tcPr>
          <w:p>
            <w:pPr>
              <w:ind w:left="420"/>
              <w:spacing w:after="0"/>
              <w:rPr>
                <w:sz w:val="20"/>
                <w:szCs w:val="20"/>
                <w:color w:val="auto"/>
              </w:rPr>
            </w:pPr>
            <w:r>
              <w:rPr>
                <w:rFonts w:ascii="Times New Roman" w:cs="Times New Roman" w:eastAsia="Times New Roman" w:hAnsi="Times New Roman"/>
                <w:sz w:val="20"/>
                <w:szCs w:val="20"/>
                <w:color w:val="454546"/>
              </w:rPr>
              <w:t>Lilly partnered programs</w:t>
            </w:r>
          </w:p>
        </w:tc>
        <w:tc>
          <w:tcPr>
            <w:tcW w:w="300" w:type="dxa"/>
            <w:vAlign w:val="bottom"/>
            <w:shd w:val="clear" w:color="auto" w:fill="E3E4E5"/>
          </w:tcPr>
          <w:p>
            <w:pPr>
              <w:spacing w:after="0"/>
              <w:rPr>
                <w:sz w:val="23"/>
                <w:szCs w:val="23"/>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22,509</w:t>
            </w:r>
          </w:p>
        </w:tc>
        <w:tc>
          <w:tcPr>
            <w:tcW w:w="240" w:type="dxa"/>
            <w:vAlign w:val="bottom"/>
            <w:shd w:val="clear" w:color="auto" w:fill="E3E4E5"/>
          </w:tcPr>
          <w:p>
            <w:pPr>
              <w:spacing w:after="0"/>
              <w:rPr>
                <w:sz w:val="23"/>
                <w:szCs w:val="23"/>
                <w:color w:val="auto"/>
              </w:rPr>
            </w:pPr>
          </w:p>
        </w:tc>
        <w:tc>
          <w:tcPr>
            <w:tcW w:w="1140" w:type="dxa"/>
            <w:vAlign w:val="bottom"/>
            <w:shd w:val="clear" w:color="auto" w:fill="E3E4E5"/>
          </w:tcPr>
          <w:p>
            <w:pPr>
              <w:ind w:left="520"/>
              <w:spacing w:after="0"/>
              <w:rPr>
                <w:sz w:val="20"/>
                <w:szCs w:val="20"/>
                <w:color w:val="auto"/>
              </w:rPr>
            </w:pPr>
            <w:r>
              <w:rPr>
                <w:rFonts w:ascii="Times New Roman" w:cs="Times New Roman" w:eastAsia="Times New Roman" w:hAnsi="Times New Roman"/>
                <w:sz w:val="20"/>
                <w:szCs w:val="20"/>
                <w:color w:val="454546"/>
              </w:rPr>
              <w:t>17,335</w:t>
            </w:r>
          </w:p>
        </w:tc>
        <w:tc>
          <w:tcPr>
            <w:tcW w:w="360" w:type="dxa"/>
            <w:vAlign w:val="bottom"/>
            <w:shd w:val="clear" w:color="auto" w:fill="E3E4E5"/>
          </w:tcPr>
          <w:p>
            <w:pPr>
              <w:spacing w:after="0"/>
              <w:rPr>
                <w:sz w:val="23"/>
                <w:szCs w:val="23"/>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5,174</w:t>
            </w:r>
          </w:p>
        </w:tc>
        <w:tc>
          <w:tcPr>
            <w:tcW w:w="0" w:type="dxa"/>
            <w:vAlign w:val="bottom"/>
          </w:tcPr>
          <w:p>
            <w:pPr>
              <w:spacing w:after="0"/>
              <w:rPr>
                <w:sz w:val="1"/>
                <w:szCs w:val="1"/>
                <w:color w:val="auto"/>
              </w:rPr>
            </w:pPr>
          </w:p>
        </w:tc>
      </w:tr>
      <w:tr>
        <w:trPr>
          <w:trHeight w:val="22"/>
        </w:trPr>
        <w:tc>
          <w:tcPr>
            <w:tcW w:w="6180" w:type="dxa"/>
            <w:vAlign w:val="bottom"/>
            <w:shd w:val="clear" w:color="auto" w:fill="E3E4E5"/>
          </w:tcPr>
          <w:p>
            <w:pPr>
              <w:spacing w:after="0" w:line="20" w:lineRule="exact"/>
              <w:rPr>
                <w:sz w:val="1"/>
                <w:szCs w:val="1"/>
                <w:color w:val="auto"/>
              </w:rPr>
            </w:pPr>
          </w:p>
        </w:tc>
        <w:tc>
          <w:tcPr>
            <w:tcW w:w="300" w:type="dxa"/>
            <w:vAlign w:val="bottom"/>
            <w:shd w:val="clear" w:color="auto" w:fill="E3E4E5"/>
          </w:tcPr>
          <w:p>
            <w:pPr>
              <w:spacing w:after="0" w:line="20" w:lineRule="exact"/>
              <w:rPr>
                <w:sz w:val="1"/>
                <w:szCs w:val="1"/>
                <w:color w:val="auto"/>
              </w:rPr>
            </w:pPr>
          </w:p>
        </w:tc>
        <w:tc>
          <w:tcPr>
            <w:tcW w:w="1000" w:type="dxa"/>
            <w:vAlign w:val="bottom"/>
            <w:shd w:val="clear" w:color="auto" w:fill="E3E4E5"/>
          </w:tcPr>
          <w:p>
            <w:pPr>
              <w:spacing w:after="0" w:line="20" w:lineRule="exact"/>
              <w:rPr>
                <w:sz w:val="1"/>
                <w:szCs w:val="1"/>
                <w:color w:val="auto"/>
              </w:rPr>
            </w:pPr>
          </w:p>
        </w:tc>
        <w:tc>
          <w:tcPr>
            <w:tcW w:w="240" w:type="dxa"/>
            <w:vAlign w:val="bottom"/>
            <w:shd w:val="clear" w:color="auto" w:fill="E3E4E5"/>
          </w:tcPr>
          <w:p>
            <w:pPr>
              <w:spacing w:after="0" w:line="20" w:lineRule="exact"/>
              <w:rPr>
                <w:sz w:val="1"/>
                <w:szCs w:val="1"/>
                <w:color w:val="auto"/>
              </w:rPr>
            </w:pPr>
          </w:p>
        </w:tc>
        <w:tc>
          <w:tcPr>
            <w:tcW w:w="1140" w:type="dxa"/>
            <w:vAlign w:val="bottom"/>
            <w:shd w:val="clear" w:color="auto" w:fill="E3E4E5"/>
          </w:tcPr>
          <w:p>
            <w:pPr>
              <w:spacing w:after="0" w:line="20" w:lineRule="exact"/>
              <w:rPr>
                <w:sz w:val="1"/>
                <w:szCs w:val="1"/>
                <w:color w:val="auto"/>
              </w:rPr>
            </w:pPr>
          </w:p>
        </w:tc>
        <w:tc>
          <w:tcPr>
            <w:tcW w:w="360" w:type="dxa"/>
            <w:vAlign w:val="bottom"/>
            <w:shd w:val="clear" w:color="auto" w:fill="E3E4E5"/>
          </w:tcPr>
          <w:p>
            <w:pPr>
              <w:spacing w:after="0" w:line="20" w:lineRule="exact"/>
              <w:rPr>
                <w:sz w:val="1"/>
                <w:szCs w:val="1"/>
                <w:color w:val="auto"/>
              </w:rPr>
            </w:pPr>
          </w:p>
        </w:tc>
        <w:tc>
          <w:tcPr>
            <w:tcW w:w="1020" w:type="dxa"/>
            <w:vAlign w:val="bottom"/>
            <w:shd w:val="clear" w:color="auto" w:fill="E3E4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20"/>
          <w:szCs w:val="20"/>
          <w:color w:val="454546"/>
        </w:rPr>
        <w:t>Platform, research and discovery, and unallocated expenses: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0" w:type="dxa"/>
            <w:vAlign w:val="bottom"/>
            <w:tcBorders>
              <w:bottom w:val="single" w:sz="8" w:color="E3E4E5"/>
            </w:tcBorders>
            <w:shd w:val="clear" w:color="auto" w:fill="E3E4E5"/>
          </w:tcPr>
          <w:p>
            <w:pPr>
              <w:spacing w:after="0"/>
              <w:rPr>
                <w:sz w:val="22"/>
                <w:szCs w:val="22"/>
                <w:color w:val="auto"/>
              </w:rPr>
            </w:pPr>
          </w:p>
        </w:tc>
        <w:tc>
          <w:tcPr>
            <w:tcW w:w="610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Early development and other research external costs</w:t>
            </w:r>
          </w:p>
        </w:tc>
        <w:tc>
          <w:tcPr>
            <w:tcW w:w="20" w:type="dxa"/>
            <w:vAlign w:val="bottom"/>
            <w:tcBorders>
              <w:bottom w:val="single" w:sz="8" w:color="E3E4E5"/>
            </w:tcBorders>
            <w:shd w:val="clear" w:color="auto" w:fill="E3E4E5"/>
          </w:tcPr>
          <w:p>
            <w:pPr>
              <w:spacing w:after="0"/>
              <w:rPr>
                <w:sz w:val="22"/>
                <w:szCs w:val="22"/>
                <w:color w:val="auto"/>
              </w:rPr>
            </w:pPr>
          </w:p>
        </w:tc>
        <w:tc>
          <w:tcPr>
            <w:tcW w:w="4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16,658</w:t>
            </w:r>
          </w:p>
        </w:tc>
        <w:tc>
          <w:tcPr>
            <w:tcW w:w="60" w:type="dxa"/>
            <w:vAlign w:val="bottom"/>
            <w:tcBorders>
              <w:bottom w:val="single" w:sz="8" w:color="E3E4E5"/>
            </w:tcBorders>
            <w:shd w:val="clear" w:color="auto" w:fill="E3E4E5"/>
          </w:tcPr>
          <w:p>
            <w:pPr>
              <w:spacing w:after="0"/>
              <w:rPr>
                <w:sz w:val="22"/>
                <w:szCs w:val="22"/>
                <w:color w:val="auto"/>
              </w:rPr>
            </w:pPr>
          </w:p>
        </w:tc>
        <w:tc>
          <w:tcPr>
            <w:tcW w:w="20" w:type="dxa"/>
            <w:vAlign w:val="bottom"/>
            <w:tcBorders>
              <w:bottom w:val="single" w:sz="8" w:color="E3E4E5"/>
            </w:tcBorders>
            <w:shd w:val="clear" w:color="auto" w:fill="E3E4E5"/>
          </w:tcPr>
          <w:p>
            <w:pPr>
              <w:spacing w:after="0"/>
              <w:rPr>
                <w:sz w:val="22"/>
                <w:szCs w:val="22"/>
                <w:color w:val="auto"/>
              </w:rPr>
            </w:pPr>
          </w:p>
        </w:tc>
        <w:tc>
          <w:tcPr>
            <w:tcW w:w="420" w:type="dxa"/>
            <w:vAlign w:val="bottom"/>
            <w:tcBorders>
              <w:bottom w:val="single" w:sz="8" w:color="E3E4E5"/>
            </w:tcBorders>
            <w:shd w:val="clear" w:color="auto" w:fill="E3E4E5"/>
          </w:tcPr>
          <w:p>
            <w:pPr>
              <w:spacing w:after="0"/>
              <w:rPr>
                <w:sz w:val="22"/>
                <w:szCs w:val="22"/>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18,407</w:t>
            </w:r>
          </w:p>
        </w:tc>
        <w:tc>
          <w:tcPr>
            <w:tcW w:w="60" w:type="dxa"/>
            <w:vAlign w:val="bottom"/>
            <w:tcBorders>
              <w:bottom w:val="single" w:sz="8" w:color="E3E4E5"/>
            </w:tcBorders>
            <w:shd w:val="clear" w:color="auto" w:fill="E3E4E5"/>
          </w:tcPr>
          <w:p>
            <w:pPr>
              <w:spacing w:after="0"/>
              <w:rPr>
                <w:sz w:val="22"/>
                <w:szCs w:val="22"/>
                <w:color w:val="auto"/>
              </w:rPr>
            </w:pPr>
          </w:p>
        </w:tc>
        <w:tc>
          <w:tcPr>
            <w:tcW w:w="20" w:type="dxa"/>
            <w:vAlign w:val="bottom"/>
            <w:tcBorders>
              <w:bottom w:val="single" w:sz="8" w:color="E3E4E5"/>
            </w:tcBorders>
            <w:shd w:val="clear" w:color="auto" w:fill="E3E4E5"/>
          </w:tcPr>
          <w:p>
            <w:pPr>
              <w:spacing w:after="0"/>
              <w:rPr>
                <w:sz w:val="22"/>
                <w:szCs w:val="22"/>
                <w:color w:val="auto"/>
              </w:rPr>
            </w:pPr>
          </w:p>
        </w:tc>
        <w:tc>
          <w:tcPr>
            <w:tcW w:w="440" w:type="dxa"/>
            <w:vAlign w:val="bottom"/>
            <w:tcBorders>
              <w:bottom w:val="single" w:sz="8" w:color="E3E4E5"/>
            </w:tcBorders>
            <w:shd w:val="clear" w:color="auto" w:fill="E3E4E5"/>
          </w:tcPr>
          <w:p>
            <w:pPr>
              <w:spacing w:after="0"/>
              <w:rPr>
                <w:sz w:val="22"/>
                <w:szCs w:val="22"/>
                <w:color w:val="auto"/>
              </w:rPr>
            </w:pPr>
          </w:p>
        </w:tc>
        <w:tc>
          <w:tcPr>
            <w:tcW w:w="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(1,749)</w:t>
            </w:r>
          </w:p>
        </w:tc>
      </w:tr>
      <w:tr>
        <w:trPr>
          <w:trHeight w:val="278"/>
        </w:trPr>
        <w:tc>
          <w:tcPr>
            <w:tcW w:w="60" w:type="dxa"/>
            <w:vAlign w:val="bottom"/>
          </w:tcPr>
          <w:p>
            <w:pPr>
              <w:spacing w:after="0"/>
              <w:rPr>
                <w:sz w:val="24"/>
                <w:szCs w:val="24"/>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20"/>
                <w:szCs w:val="20"/>
                <w:color w:val="454546"/>
              </w:rPr>
              <w:t>Personnel related (including stock-based compensation)</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20"/>
                <w:szCs w:val="20"/>
                <w:color w:val="454546"/>
              </w:rPr>
              <w:t>27,266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27,718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(452)</w:t>
            </w:r>
          </w:p>
        </w:tc>
      </w:tr>
      <w:tr>
        <w:trPr>
          <w:trHeight w:val="293"/>
        </w:trPr>
        <w:tc>
          <w:tcPr>
            <w:tcW w:w="60" w:type="dxa"/>
            <w:vAlign w:val="bottom"/>
            <w:tcBorders>
              <w:bottom w:val="single" w:sz="8" w:color="E3E4E5"/>
            </w:tcBorders>
            <w:shd w:val="clear" w:color="auto" w:fill="E3E4E5"/>
          </w:tcPr>
          <w:p>
            <w:pPr>
              <w:spacing w:after="0"/>
              <w:rPr>
                <w:sz w:val="24"/>
                <w:szCs w:val="24"/>
                <w:color w:val="auto"/>
              </w:rPr>
            </w:pPr>
          </w:p>
        </w:tc>
        <w:tc>
          <w:tcPr>
            <w:tcW w:w="610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Facilities and IT related expenses and other</w:t>
            </w:r>
          </w:p>
        </w:tc>
        <w:tc>
          <w:tcPr>
            <w:tcW w:w="20" w:type="dxa"/>
            <w:vAlign w:val="bottom"/>
            <w:tcBorders>
              <w:bottom w:val="single" w:sz="8" w:color="E3E4E5"/>
            </w:tcBorders>
            <w:shd w:val="clear" w:color="auto" w:fill="E3E4E5"/>
          </w:tcPr>
          <w:p>
            <w:pPr>
              <w:spacing w:after="0"/>
              <w:rPr>
                <w:sz w:val="24"/>
                <w:szCs w:val="24"/>
                <w:color w:val="auto"/>
              </w:rPr>
            </w:pPr>
          </w:p>
        </w:tc>
        <w:tc>
          <w:tcPr>
            <w:tcW w:w="420" w:type="dxa"/>
            <w:vAlign w:val="bottom"/>
            <w:tcBorders>
              <w:bottom w:val="single" w:sz="8" w:color="E3E4E5"/>
            </w:tcBorders>
            <w:shd w:val="clear" w:color="auto" w:fill="E3E4E5"/>
          </w:tcPr>
          <w:p>
            <w:pPr>
              <w:spacing w:after="0"/>
              <w:rPr>
                <w:sz w:val="24"/>
                <w:szCs w:val="24"/>
                <w:color w:val="auto"/>
              </w:rPr>
            </w:pPr>
          </w:p>
        </w:tc>
        <w:tc>
          <w:tcPr>
            <w:tcW w:w="880" w:type="dxa"/>
            <w:vAlign w:val="bottom"/>
            <w:tcBorders>
              <w:bottom w:val="single" w:sz="8" w:color="E3E4E5"/>
            </w:tcBorders>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18,117</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20" w:type="dxa"/>
            <w:vAlign w:val="bottom"/>
            <w:tcBorders>
              <w:bottom w:val="single" w:sz="8" w:color="E3E4E5"/>
            </w:tcBorders>
            <w:shd w:val="clear" w:color="auto" w:fill="E3E4E5"/>
          </w:tcPr>
          <w:p>
            <w:pPr>
              <w:spacing w:after="0"/>
              <w:rPr>
                <w:sz w:val="24"/>
                <w:szCs w:val="24"/>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19,932</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40" w:type="dxa"/>
            <w:vAlign w:val="bottom"/>
            <w:tcBorders>
              <w:bottom w:val="single" w:sz="8" w:color="E3E4E5"/>
            </w:tcBorders>
            <w:shd w:val="clear" w:color="auto" w:fill="E3E4E5"/>
          </w:tcPr>
          <w:p>
            <w:pPr>
              <w:spacing w:after="0"/>
              <w:rPr>
                <w:sz w:val="24"/>
                <w:szCs w:val="24"/>
                <w:color w:val="auto"/>
              </w:rPr>
            </w:pPr>
          </w:p>
        </w:tc>
        <w:tc>
          <w:tcPr>
            <w:tcW w:w="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(1,815)</w:t>
            </w:r>
          </w:p>
        </w:tc>
      </w:tr>
      <w:tr>
        <w:trPr>
          <w:trHeight w:val="267"/>
        </w:trPr>
        <w:tc>
          <w:tcPr>
            <w:tcW w:w="60" w:type="dxa"/>
            <w:vAlign w:val="bottom"/>
          </w:tcPr>
          <w:p>
            <w:pPr>
              <w:spacing w:after="0"/>
              <w:rPr>
                <w:sz w:val="23"/>
                <w:szCs w:val="23"/>
                <w:color w:val="auto"/>
              </w:rPr>
            </w:pPr>
          </w:p>
        </w:tc>
        <w:tc>
          <w:tcPr>
            <w:tcW w:w="6100" w:type="dxa"/>
            <w:vAlign w:val="bottom"/>
          </w:tcPr>
          <w:p>
            <w:pPr>
              <w:ind w:left="720"/>
              <w:spacing w:after="0"/>
              <w:rPr>
                <w:sz w:val="20"/>
                <w:szCs w:val="20"/>
                <w:color w:val="auto"/>
              </w:rPr>
            </w:pPr>
            <w:r>
              <w:rPr>
                <w:rFonts w:ascii="Times New Roman" w:cs="Times New Roman" w:eastAsia="Times New Roman" w:hAnsi="Times New Roman"/>
                <w:sz w:val="20"/>
                <w:szCs w:val="20"/>
                <w:color w:val="454546"/>
              </w:rPr>
              <w:t>Total research and development expenses</w:t>
            </w:r>
          </w:p>
        </w:tc>
        <w:tc>
          <w:tcPr>
            <w:tcW w:w="20" w:type="dxa"/>
            <w:vAlign w:val="bottom"/>
            <w:tcBorders>
              <w:bottom w:val="single" w:sz="8" w:color="231F20"/>
            </w:tcBorders>
          </w:tcPr>
          <w:p>
            <w:pPr>
              <w:spacing w:after="0"/>
              <w:rPr>
                <w:sz w:val="23"/>
                <w:szCs w:val="23"/>
                <w:color w:val="auto"/>
              </w:rPr>
            </w:pPr>
          </w:p>
        </w:tc>
        <w:tc>
          <w:tcPr>
            <w:tcW w:w="42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tcBorders>
              <w:top w:val="single" w:sz="8" w:color="231F20"/>
              <w:bottom w:val="single" w:sz="8" w:color="231F20"/>
            </w:tcBorders>
          </w:tcPr>
          <w:p>
            <w:pPr>
              <w:ind w:left="260"/>
              <w:spacing w:after="0"/>
              <w:rPr>
                <w:sz w:val="20"/>
                <w:szCs w:val="20"/>
                <w:color w:val="auto"/>
              </w:rPr>
            </w:pPr>
            <w:r>
              <w:rPr>
                <w:rFonts w:ascii="Times New Roman" w:cs="Times New Roman" w:eastAsia="Times New Roman" w:hAnsi="Times New Roman"/>
                <w:sz w:val="20"/>
                <w:szCs w:val="20"/>
                <w:color w:val="454546"/>
              </w:rPr>
              <w:t>85,466</w:t>
            </w:r>
          </w:p>
        </w:tc>
        <w:tc>
          <w:tcPr>
            <w:tcW w:w="60" w:type="dxa"/>
            <w:vAlign w:val="bottom"/>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420" w:type="dxa"/>
            <w:vAlign w:val="bottom"/>
            <w:tcBorders>
              <w:top w:val="single" w:sz="8" w:color="231F20"/>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454546"/>
              </w:rPr>
              <w:t>$</w:t>
            </w: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94,528</w:t>
            </w:r>
          </w:p>
        </w:tc>
        <w:tc>
          <w:tcPr>
            <w:tcW w:w="60" w:type="dxa"/>
            <w:vAlign w:val="bottom"/>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440" w:type="dxa"/>
            <w:vAlign w:val="bottom"/>
            <w:tcBorders>
              <w:top w:val="single" w:sz="8" w:color="231F20"/>
              <w:bottom w:val="single" w:sz="8" w:color="231F20"/>
            </w:tcBorders>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(9,062)</w:t>
            </w:r>
          </w:p>
        </w:tc>
      </w:tr>
      <w:tr>
        <w:trPr>
          <w:trHeight w:val="20"/>
        </w:trPr>
        <w:tc>
          <w:tcPr>
            <w:tcW w:w="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r>
    </w:tbl>
    <w:p>
      <w:pPr>
        <w:spacing w:after="0" w:line="191" w:lineRule="exact"/>
        <w:rPr>
          <w:sz w:val="20"/>
          <w:szCs w:val="20"/>
          <w:color w:val="auto"/>
        </w:rPr>
      </w:pPr>
    </w:p>
    <w:p>
      <w:pPr>
        <w:ind w:left="60" w:right="120"/>
        <w:spacing w:after="0" w:line="287" w:lineRule="auto"/>
        <w:rPr>
          <w:sz w:val="20"/>
          <w:szCs w:val="20"/>
          <w:color w:val="auto"/>
        </w:rPr>
      </w:pPr>
      <w:r>
        <w:rPr>
          <w:rFonts w:ascii="Times New Roman" w:cs="Times New Roman" w:eastAsia="Times New Roman" w:hAnsi="Times New Roman"/>
          <w:sz w:val="20"/>
          <w:szCs w:val="20"/>
          <w:color w:val="454546"/>
        </w:rPr>
        <w:t>Research and development expenses were $85.5 million for the year ended December 31, 2025, compared to $94.5 million for the year ended December 31, 2024. The decrease is attributed to the following:</w:t>
      </w:r>
    </w:p>
    <w:p>
      <w:pPr>
        <w:spacing w:after="0" w:line="50" w:lineRule="exact"/>
        <w:rPr>
          <w:sz w:val="20"/>
          <w:szCs w:val="20"/>
          <w:color w:val="auto"/>
        </w:rPr>
      </w:pPr>
    </w:p>
    <w:p>
      <w:pPr>
        <w:ind w:left="780" w:hanging="369"/>
        <w:spacing w:after="0" w:line="262" w:lineRule="auto"/>
        <w:tabs>
          <w:tab w:leader="none" w:pos="780" w:val="left"/>
        </w:tabs>
        <w:numPr>
          <w:ilvl w:val="0"/>
          <w:numId w:val="3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decrease in FHD-286 costs of $10.2 million due to the discontinuation of both the independent development of FHD-286 in combination with decitabine in patients with relapsed and/or refractory AML, resulting in the shutdown of the Phase 1 clinical trial, and termination of the independent development of FHD-286 in patients with uveal melanoma; and</w:t>
      </w:r>
    </w:p>
    <w:p>
      <w:pPr>
        <w:sectPr>
          <w:pgSz w:w="11880" w:h="15480" w:orient="portrait"/>
          <w:cols w:equalWidth="0" w:num="1">
            <w:col w:w="10300"/>
          </w:cols>
          <w:pgMar w:left="760" w:top="7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454546"/>
        </w:rPr>
        <w:t>69</w:t>
      </w:r>
    </w:p>
    <w:p>
      <w:pPr>
        <w:sectPr>
          <w:pgSz w:w="11880" w:h="15480" w:orient="portrait"/>
          <w:cols w:equalWidth="0" w:num="1">
            <w:col w:w="10300"/>
          </w:cols>
          <w:pgMar w:left="760" w:top="740" w:right="820" w:bottom="0" w:gutter="0" w:footer="0" w:header="0"/>
          <w:type w:val="continuous"/>
        </w:sectPr>
      </w:pPr>
    </w:p>
    <w:bookmarkStart w:id="71" w:name="page72"/>
    <w:bookmarkEnd w:id="71"/>
    <w:p>
      <w:pPr>
        <w:ind w:left="780" w:right="140" w:hanging="369"/>
        <w:spacing w:after="0" w:line="269" w:lineRule="auto"/>
        <w:tabs>
          <w:tab w:leader="none" w:pos="780" w:val="left"/>
        </w:tabs>
        <w:numPr>
          <w:ilvl w:val="0"/>
          <w:numId w:val="3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decrease in facilities and IT related expenses and other costs of $1.8 million primarily due to the June 2025 lease modification (see Note 10 to our consolidated financial statements included elsewhere in this Annual Report on Form 10-K) and decreased headcount in our research and development function compared to prior year; and</w:t>
      </w:r>
    </w:p>
    <w:p>
      <w:pPr>
        <w:spacing w:after="0" w:line="66" w:lineRule="exact"/>
        <w:rPr>
          <w:rFonts w:ascii="Times New Roman" w:cs="Times New Roman" w:eastAsia="Times New Roman" w:hAnsi="Times New Roman"/>
          <w:sz w:val="20"/>
          <w:szCs w:val="20"/>
          <w:color w:val="454546"/>
        </w:rPr>
      </w:pPr>
    </w:p>
    <w:p>
      <w:pPr>
        <w:ind w:left="780" w:hanging="369"/>
        <w:spacing w:after="0" w:line="269" w:lineRule="auto"/>
        <w:tabs>
          <w:tab w:leader="none" w:pos="780" w:val="left"/>
        </w:tabs>
        <w:numPr>
          <w:ilvl w:val="0"/>
          <w:numId w:val="3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decrease in early development and other research external costs of $1.7 million which was driven by decreased FHD-609 spend due to the shutdown of the Phase 1 clinical trial in synovial sarcoma and SMARCAB1-loss tumors and a decrease in preclinical research costs due to program progression; and</w:t>
      </w:r>
    </w:p>
    <w:p>
      <w:pPr>
        <w:spacing w:after="0" w:line="66" w:lineRule="exact"/>
        <w:rPr>
          <w:rFonts w:ascii="Times New Roman" w:cs="Times New Roman" w:eastAsia="Times New Roman" w:hAnsi="Times New Roman"/>
          <w:sz w:val="20"/>
          <w:szCs w:val="20"/>
          <w:color w:val="454546"/>
        </w:rPr>
      </w:pPr>
    </w:p>
    <w:p>
      <w:pPr>
        <w:ind w:left="780" w:right="180" w:hanging="369"/>
        <w:spacing w:after="0" w:line="269" w:lineRule="auto"/>
        <w:tabs>
          <w:tab w:leader="none" w:pos="780" w:val="left"/>
        </w:tabs>
        <w:numPr>
          <w:ilvl w:val="0"/>
          <w:numId w:val="3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decrease in personnel-related costs of $0.5 million, primarily driven by a $0.6 million decrease in stock-based compensation expense due to a lower weighted average expense per award compared to prior year, partially offset by increased payroll taxes period over period; and</w:t>
      </w:r>
    </w:p>
    <w:p>
      <w:pPr>
        <w:spacing w:after="0" w:line="66" w:lineRule="exact"/>
        <w:rPr>
          <w:rFonts w:ascii="Times New Roman" w:cs="Times New Roman" w:eastAsia="Times New Roman" w:hAnsi="Times New Roman"/>
          <w:sz w:val="20"/>
          <w:szCs w:val="20"/>
          <w:color w:val="454546"/>
        </w:rPr>
      </w:pPr>
    </w:p>
    <w:p>
      <w:pPr>
        <w:ind w:left="780" w:right="340" w:hanging="369"/>
        <w:spacing w:after="0" w:line="315" w:lineRule="auto"/>
        <w:tabs>
          <w:tab w:leader="none" w:pos="780" w:val="left"/>
        </w:tabs>
        <w:numPr>
          <w:ilvl w:val="0"/>
          <w:numId w:val="36"/>
        </w:numPr>
        <w:rPr>
          <w:rFonts w:ascii="Times New Roman" w:cs="Times New Roman" w:eastAsia="Times New Roman" w:hAnsi="Times New Roman"/>
          <w:sz w:val="19"/>
          <w:szCs w:val="19"/>
          <w:color w:val="454546"/>
        </w:rPr>
      </w:pPr>
      <w:r>
        <w:rPr>
          <w:rFonts w:ascii="Times New Roman" w:cs="Times New Roman" w:eastAsia="Times New Roman" w:hAnsi="Times New Roman"/>
          <w:sz w:val="19"/>
          <w:szCs w:val="19"/>
          <w:color w:val="454546"/>
        </w:rPr>
        <w:t>an increase in Lilly partnered programs of $5.2 million primarily driven by initiation of the Phase 1 dose escalation study of FHD-909. We expect these costs to continue to increase with increasing enrollment of FHD-909.</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General and Administrative Expenses</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The following table summarizes our general and administrative expenses for the years ended December 31,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5"/>
          </w:tcPr>
          <w:p>
            <w:pPr>
              <w:jc w:val="right"/>
              <w:ind w:right="367"/>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454546"/>
              </w:rPr>
              <w:t>Change</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6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454546"/>
                <w:w w:val="98"/>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6180" w:type="dxa"/>
            <w:vAlign w:val="bottom"/>
            <w:tcBorders>
              <w:bottom w:val="single" w:sz="8" w:color="E3E4E5"/>
            </w:tcBorders>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Personnel related (including stock-based compensation)</w:t>
            </w:r>
          </w:p>
        </w:tc>
        <w:tc>
          <w:tcPr>
            <w:tcW w:w="30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17,415</w:t>
            </w:r>
          </w:p>
        </w:tc>
        <w:tc>
          <w:tcPr>
            <w:tcW w:w="60" w:type="dxa"/>
            <w:vAlign w:val="bottom"/>
            <w:tcBorders>
              <w:bottom w:val="single" w:sz="8" w:color="E3E4E5"/>
            </w:tcBorders>
            <w:shd w:val="clear" w:color="auto" w:fill="E3E4E5"/>
          </w:tcPr>
          <w:p>
            <w:pPr>
              <w:spacing w:after="0"/>
              <w:rPr>
                <w:sz w:val="24"/>
                <w:szCs w:val="24"/>
                <w:color w:val="auto"/>
              </w:rPr>
            </w:pPr>
          </w:p>
        </w:tc>
        <w:tc>
          <w:tcPr>
            <w:tcW w:w="18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17,125</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E3E4E5"/>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290</w:t>
            </w:r>
          </w:p>
        </w:tc>
        <w:tc>
          <w:tcPr>
            <w:tcW w:w="0" w:type="dxa"/>
            <w:vAlign w:val="bottom"/>
          </w:tcPr>
          <w:p>
            <w:pPr>
              <w:spacing w:after="0"/>
              <w:rPr>
                <w:sz w:val="1"/>
                <w:szCs w:val="1"/>
                <w:color w:val="auto"/>
              </w:rPr>
            </w:pPr>
          </w:p>
        </w:tc>
      </w:tr>
      <w:tr>
        <w:trPr>
          <w:trHeight w:val="271"/>
        </w:trPr>
        <w:tc>
          <w:tcPr>
            <w:tcW w:w="61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454546"/>
              </w:rPr>
              <w:t>Professional and consulting</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6,094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6,250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(156)</w:t>
            </w:r>
          </w:p>
        </w:tc>
        <w:tc>
          <w:tcPr>
            <w:tcW w:w="0" w:type="dxa"/>
            <w:vAlign w:val="bottom"/>
          </w:tcPr>
          <w:p>
            <w:pPr>
              <w:spacing w:after="0"/>
              <w:rPr>
                <w:sz w:val="1"/>
                <w:szCs w:val="1"/>
                <w:color w:val="auto"/>
              </w:rPr>
            </w:pPr>
          </w:p>
        </w:tc>
      </w:tr>
      <w:tr>
        <w:trPr>
          <w:trHeight w:val="29"/>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6180" w:type="dxa"/>
            <w:vAlign w:val="bottom"/>
            <w:tcBorders>
              <w:bottom w:val="single" w:sz="8" w:color="E3E4E5"/>
            </w:tcBorders>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Facilities and IT related expenses and other</w:t>
            </w:r>
          </w:p>
        </w:tc>
        <w:tc>
          <w:tcPr>
            <w:tcW w:w="30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4,041</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E3E4E5"/>
            </w:tcBorders>
            <w:shd w:val="clear" w:color="auto" w:fill="E3E4E5"/>
          </w:tcPr>
          <w:p>
            <w:pPr>
              <w:spacing w:after="0"/>
              <w:rPr>
                <w:sz w:val="24"/>
                <w:szCs w:val="24"/>
                <w:color w:val="auto"/>
              </w:rPr>
            </w:pPr>
          </w:p>
        </w:tc>
        <w:tc>
          <w:tcPr>
            <w:tcW w:w="11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4,984</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10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(943)</w:t>
            </w:r>
          </w:p>
        </w:tc>
        <w:tc>
          <w:tcPr>
            <w:tcW w:w="0" w:type="dxa"/>
            <w:vAlign w:val="bottom"/>
          </w:tcPr>
          <w:p>
            <w:pPr>
              <w:spacing w:after="0"/>
              <w:rPr>
                <w:sz w:val="1"/>
                <w:szCs w:val="1"/>
                <w:color w:val="auto"/>
              </w:rPr>
            </w:pPr>
          </w:p>
        </w:tc>
      </w:tr>
      <w:tr>
        <w:trPr>
          <w:trHeight w:val="282"/>
        </w:trPr>
        <w:tc>
          <w:tcPr>
            <w:tcW w:w="61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454546"/>
              </w:rPr>
              <w:t>Total general and administrative expenses</w:t>
            </w:r>
          </w:p>
        </w:tc>
        <w:tc>
          <w:tcPr>
            <w:tcW w:w="300" w:type="dxa"/>
            <w:vAlign w:val="bottom"/>
            <w:tcBorders>
              <w:top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27,550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28,359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(809)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60" w:right="140"/>
        <w:spacing w:after="0" w:line="287" w:lineRule="auto"/>
        <w:rPr>
          <w:sz w:val="20"/>
          <w:szCs w:val="20"/>
          <w:color w:val="auto"/>
        </w:rPr>
      </w:pPr>
      <w:r>
        <w:rPr>
          <w:rFonts w:ascii="Times New Roman" w:cs="Times New Roman" w:eastAsia="Times New Roman" w:hAnsi="Times New Roman"/>
          <w:sz w:val="20"/>
          <w:szCs w:val="20"/>
          <w:color w:val="454546"/>
        </w:rPr>
        <w:t>General and administrative expenses were $27.6 million for the year ended December 31, 2025, compared to $28.4 million for the year ended December 31, 2024. The decrease is attributed to the following:</w:t>
      </w:r>
    </w:p>
    <w:p>
      <w:pPr>
        <w:spacing w:after="0" w:line="50" w:lineRule="exact"/>
        <w:rPr>
          <w:sz w:val="20"/>
          <w:szCs w:val="20"/>
          <w:color w:val="auto"/>
        </w:rPr>
      </w:pPr>
    </w:p>
    <w:p>
      <w:pPr>
        <w:ind w:left="780" w:right="140" w:hanging="369"/>
        <w:spacing w:after="0" w:line="269" w:lineRule="auto"/>
        <w:tabs>
          <w:tab w:leader="none" w:pos="780" w:val="left"/>
        </w:tabs>
        <w:numPr>
          <w:ilvl w:val="0"/>
          <w:numId w:val="3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a decrease in facilities and IT related expenses and other costs of $0.9 million primarily due to the June 2025 lease modification (see Note 10 to our consolidated financial statements included elsewhere in this Annual Report on Form 10-K).</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Gain on Lease Modification</w:t>
      </w:r>
    </w:p>
    <w:p>
      <w:pPr>
        <w:spacing w:after="0" w:line="128" w:lineRule="exact"/>
        <w:rPr>
          <w:sz w:val="20"/>
          <w:szCs w:val="20"/>
          <w:color w:val="auto"/>
        </w:rPr>
      </w:pPr>
    </w:p>
    <w:p>
      <w:pPr>
        <w:ind w:left="60" w:right="120"/>
        <w:spacing w:after="0" w:line="280" w:lineRule="auto"/>
        <w:rPr>
          <w:sz w:val="20"/>
          <w:szCs w:val="20"/>
          <w:color w:val="auto"/>
        </w:rPr>
      </w:pPr>
      <w:r>
        <w:rPr>
          <w:rFonts w:ascii="Times New Roman" w:cs="Times New Roman" w:eastAsia="Times New Roman" w:hAnsi="Times New Roman"/>
          <w:sz w:val="19"/>
          <w:szCs w:val="19"/>
          <w:color w:val="454546"/>
        </w:rPr>
        <w:t>For the year ended December 31, 2025, we recorded a gain on lease modification of $1.6 million resulting from the remeasurement of the right-of-use asset and lease liabilities in connection with the Company’s main office lease and relocation to Watertown, MA, in December 2025 (See Note 10 to our consolidated financial statements included elsewhere in this Annual Report on Form 10-K). For the year ended December 31, 2024, the Company recorded no gain on lease modification.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Impairment of Long-Lived Assets</w:t>
      </w:r>
    </w:p>
    <w:p>
      <w:pPr>
        <w:spacing w:after="0" w:line="128" w:lineRule="exact"/>
        <w:rPr>
          <w:sz w:val="20"/>
          <w:szCs w:val="20"/>
          <w:color w:val="auto"/>
        </w:rPr>
      </w:pPr>
    </w:p>
    <w:p>
      <w:pPr>
        <w:ind w:left="60" w:right="180"/>
        <w:spacing w:after="0" w:line="259" w:lineRule="auto"/>
        <w:rPr>
          <w:sz w:val="20"/>
          <w:szCs w:val="20"/>
          <w:color w:val="auto"/>
        </w:rPr>
      </w:pPr>
      <w:r>
        <w:rPr>
          <w:rFonts w:ascii="Times New Roman" w:cs="Times New Roman" w:eastAsia="Times New Roman" w:hAnsi="Times New Roman"/>
          <w:sz w:val="20"/>
          <w:szCs w:val="20"/>
          <w:color w:val="454546"/>
        </w:rPr>
        <w:t>For the year ended December 31, 2025, we recorded a non-cash impairment of long-lived assets charge of $5.9 million for the abandonment of leasehold improvements in connection with the Company’s main office lease and relocation to Watertown, MA, in December 2025 (See Note 10 to our consolidated financial statements included elsewhere in this Annual Report on Form 10-K). For the year ended December 31, 2024, we recorded a non-cash impairment of long-lived assets charge of $2.4 million related to the sublease of office space at the Company’s prior headquarters in Cambridge, MA.</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Other Income, Net</w:t>
      </w:r>
    </w:p>
    <w:p>
      <w:pPr>
        <w:spacing w:after="0" w:line="128" w:lineRule="exact"/>
        <w:rPr>
          <w:sz w:val="20"/>
          <w:szCs w:val="20"/>
          <w:color w:val="auto"/>
        </w:rPr>
      </w:pPr>
    </w:p>
    <w:p>
      <w:pPr>
        <w:ind w:left="60" w:right="40"/>
        <w:spacing w:after="0" w:line="262" w:lineRule="auto"/>
        <w:rPr>
          <w:sz w:val="20"/>
          <w:szCs w:val="20"/>
          <w:color w:val="auto"/>
        </w:rPr>
      </w:pPr>
      <w:r>
        <w:rPr>
          <w:rFonts w:ascii="Times New Roman" w:cs="Times New Roman" w:eastAsia="Times New Roman" w:hAnsi="Times New Roman"/>
          <w:sz w:val="20"/>
          <w:szCs w:val="20"/>
          <w:color w:val="454546"/>
        </w:rPr>
        <w:t>Total other income, net was $12.1 million for the year ended December 31, 2025, compared to $16.1 million for the year ended December 31, 2024. The decrease was due to decreased interest income due to a lower average balance of marketable securities during the period and decreased sublease income due to the conclusion of both subleases during 2025 (see Note 10 to our consolidated financial statements included elsewhere in this Annual Report on Form 10-K).</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54546"/>
        </w:rPr>
        <w:t>Liquidity and Capital Resources</w:t>
      </w:r>
    </w:p>
    <w:p>
      <w:pPr>
        <w:spacing w:after="0" w:line="134" w:lineRule="exact"/>
        <w:rPr>
          <w:sz w:val="20"/>
          <w:szCs w:val="20"/>
          <w:color w:val="auto"/>
        </w:rPr>
      </w:pPr>
    </w:p>
    <w:p>
      <w:pPr>
        <w:jc w:val="both"/>
        <w:ind w:left="60" w:right="20"/>
        <w:spacing w:after="0" w:line="280" w:lineRule="auto"/>
        <w:rPr>
          <w:sz w:val="20"/>
          <w:szCs w:val="20"/>
          <w:color w:val="auto"/>
        </w:rPr>
      </w:pPr>
      <w:r>
        <w:rPr>
          <w:rFonts w:ascii="Times New Roman" w:cs="Times New Roman" w:eastAsia="Times New Roman" w:hAnsi="Times New Roman"/>
          <w:sz w:val="19"/>
          <w:szCs w:val="19"/>
          <w:color w:val="454546"/>
        </w:rPr>
        <w:t>Since our inception in October 2015, we have incurred significant operating losses. We expect to incur significant expenses and operating losses for the foreseeable future as we support our continued research activities and development of our programs and platform. Through December 31, 2025, we have funded our operations with proceeds from our initial public offering (“IPO”) in October 2020, sales of preferred stock, term loans, an upfront payment of $15.0 million we received in July 2020 under the</w:t>
      </w:r>
    </w:p>
    <w:p>
      <w:pPr>
        <w:sectPr>
          <w:pgSz w:w="11880" w:h="15480" w:orient="portrait"/>
          <w:cols w:equalWidth="0" w:num="1">
            <w:col w:w="10320"/>
          </w:cols>
          <w:pgMar w:left="760" w:top="504" w:right="800" w:bottom="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70</w:t>
      </w:r>
    </w:p>
    <w:p>
      <w:pPr>
        <w:sectPr>
          <w:pgSz w:w="11880" w:h="15480" w:orient="portrait"/>
          <w:cols w:equalWidth="0" w:num="1">
            <w:col w:w="10320"/>
          </w:cols>
          <w:pgMar w:left="760" w:top="504" w:right="800" w:bottom="0" w:gutter="0" w:footer="0" w:header="0"/>
          <w:type w:val="continuous"/>
        </w:sectPr>
      </w:pPr>
    </w:p>
    <w:bookmarkStart w:id="72" w:name="page73"/>
    <w:bookmarkEnd w:id="72"/>
    <w:p>
      <w:pPr>
        <w:ind w:left="60"/>
        <w:spacing w:after="0" w:line="256" w:lineRule="auto"/>
        <w:rPr>
          <w:sz w:val="20"/>
          <w:szCs w:val="20"/>
          <w:color w:val="auto"/>
        </w:rPr>
      </w:pPr>
      <w:r>
        <w:rPr>
          <w:rFonts w:ascii="Times New Roman" w:cs="Times New Roman" w:eastAsia="Times New Roman" w:hAnsi="Times New Roman"/>
          <w:sz w:val="20"/>
          <w:szCs w:val="20"/>
          <w:color w:val="454546"/>
        </w:rPr>
        <w:t>Research Collaboration and Exclusive License Agreement (the “Merck Collaboration Agreement”) with Merck Sharp &amp; Dohme Corp. (“Merck”), proceeds we received in December 2021 under the Lilly SPA of $80.0 million; an upfront payment of $300.0 million received in January 2022 under the Lilly Collaboration Agreement; a payment of $5.0 million received from Merck under the Merck Collaboration Agreement in the third quarter of 2022 for the achievement of a research milestone; net proceeds of $102.8 million, after deducting underwriting discounts, commissions and other offering expenses, from the May 2024 Offering; and net proceeds from our ATM Facility of $0.5 million. As of December 31, 2025, we had cash, cash equivalents and marketable securities of $158.9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January 2026 Offering</w:t>
      </w:r>
    </w:p>
    <w:p>
      <w:pPr>
        <w:spacing w:after="0" w:line="130" w:lineRule="exact"/>
        <w:rPr>
          <w:sz w:val="20"/>
          <w:szCs w:val="20"/>
          <w:color w:val="auto"/>
        </w:rPr>
      </w:pPr>
    </w:p>
    <w:p>
      <w:pPr>
        <w:ind w:left="60" w:right="120"/>
        <w:spacing w:after="0" w:line="256" w:lineRule="auto"/>
        <w:rPr>
          <w:sz w:val="20"/>
          <w:szCs w:val="20"/>
          <w:color w:val="auto"/>
        </w:rPr>
      </w:pPr>
      <w:r>
        <w:rPr>
          <w:rFonts w:ascii="Times New Roman" w:cs="Times New Roman" w:eastAsia="Times New Roman" w:hAnsi="Times New Roman"/>
          <w:sz w:val="20"/>
          <w:szCs w:val="20"/>
          <w:color w:val="454546"/>
        </w:rPr>
        <w:t>On January 9, 2026, the Company entered into the Purchase Agreements with the Investors, relating to the issuance and sale of 2,030,314 shares of its Common Stock and, in lieu of Common Stock, Pre-Funded Warrants to purchase 5,421,250 shares of Common Stock. The Company sold the shares of Common Stock and Pre-Funded Warrants together with Series Warrants, consisting of Series 1 Warrants and Series 2 Warrants to purchase an aggregate of 7,451,564 shares of the Common Stock. The Pre-Funded Warrants were exercisable immediately upon issuance at an initial exercise price of $0.0001 per share and have a term of 20 years. The shares of Common Stock, or Pre-Funded Warrants, as applicable, and the accompanying Series Warrants were immediately separable and were issued separately, but they were purchased together in the offering.</w:t>
      </w:r>
    </w:p>
    <w:p>
      <w:pPr>
        <w:spacing w:after="0" w:line="83" w:lineRule="exact"/>
        <w:rPr>
          <w:sz w:val="20"/>
          <w:szCs w:val="20"/>
          <w:color w:val="auto"/>
        </w:rPr>
      </w:pPr>
    </w:p>
    <w:p>
      <w:pPr>
        <w:ind w:left="60" w:right="20"/>
        <w:spacing w:after="0" w:line="259" w:lineRule="auto"/>
        <w:rPr>
          <w:sz w:val="20"/>
          <w:szCs w:val="20"/>
          <w:color w:val="auto"/>
        </w:rPr>
      </w:pPr>
      <w:r>
        <w:rPr>
          <w:rFonts w:ascii="Times New Roman" w:cs="Times New Roman" w:eastAsia="Times New Roman" w:hAnsi="Times New Roman"/>
          <w:sz w:val="20"/>
          <w:szCs w:val="20"/>
          <w:color w:val="454546"/>
        </w:rPr>
        <w:t>The Series Warrants were immediately exercisable. Each Series 1 Warrant has an initial exercise price of $13.42 per share of Common Stock, subject to certain adjustments, and expires on June 30, 2027. Each Series 2 Warrant has an initial exercise price of $20.13 per share of Common Stock, subject to certain adjustments, and expires on December 31, 2030. For the Series Warrants, the Investor may elect to receive, in lieu of shares of Common Stock, pre-funded warrants to purchase an equivalent number of shares of Common Stock.</w:t>
      </w:r>
    </w:p>
    <w:p>
      <w:pPr>
        <w:spacing w:after="0" w:line="79" w:lineRule="exact"/>
        <w:rPr>
          <w:sz w:val="20"/>
          <w:szCs w:val="20"/>
          <w:color w:val="auto"/>
        </w:rPr>
      </w:pPr>
    </w:p>
    <w:p>
      <w:pPr>
        <w:jc w:val="both"/>
        <w:ind w:left="60" w:right="180"/>
        <w:spacing w:after="0" w:line="259" w:lineRule="auto"/>
        <w:rPr>
          <w:sz w:val="20"/>
          <w:szCs w:val="20"/>
          <w:color w:val="auto"/>
        </w:rPr>
      </w:pPr>
      <w:r>
        <w:rPr>
          <w:rFonts w:ascii="Times New Roman" w:cs="Times New Roman" w:eastAsia="Times New Roman" w:hAnsi="Times New Roman"/>
          <w:sz w:val="20"/>
          <w:szCs w:val="20"/>
          <w:color w:val="454546"/>
        </w:rPr>
        <w:t>The offering price for the shares of Common Stock is $6.71 per share (or $6.7099 for each Pre-Funded Warrant, which equals the price per share of the Common Stock less the exercise price of the Pre-Funded Warrants). The aggregate gross proceeds to the Company from this offering were approximately $50.0 million before any offering expenses, and excluding any proceeds the Company may receive upon exercise of the Pre-Funded Warrants and Series Warrants. No underwriter or placement agent participated in the offering.</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Cash Flows</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The following table summarizes our sources and uses of cash for each of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2360" w:type="dxa"/>
            <w:vAlign w:val="bottom"/>
            <w:tcBorders>
              <w:bottom w:val="single" w:sz="8" w:color="231F20"/>
            </w:tcBorders>
            <w:gridSpan w:val="5"/>
          </w:tcPr>
          <w:p>
            <w:pPr>
              <w:jc w:val="right"/>
              <w:ind w:right="364"/>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1"/>
        </w:trPr>
        <w:tc>
          <w:tcPr>
            <w:tcW w:w="6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20"/>
        </w:trPr>
        <w:tc>
          <w:tcPr>
            <w:tcW w:w="6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840" w:type="dxa"/>
            <w:vAlign w:val="bottom"/>
          </w:tcPr>
          <w:p>
            <w:pPr>
              <w:spacing w:after="0"/>
              <w:rPr>
                <w:sz w:val="19"/>
                <w:szCs w:val="19"/>
                <w:color w:val="auto"/>
              </w:rPr>
            </w:pPr>
          </w:p>
        </w:tc>
      </w:tr>
      <w:tr>
        <w:trPr>
          <w:trHeight w:val="286"/>
        </w:trPr>
        <w:tc>
          <w:tcPr>
            <w:tcW w:w="60" w:type="dxa"/>
            <w:vAlign w:val="bottom"/>
            <w:shd w:val="clear" w:color="auto" w:fill="E3E4E5"/>
          </w:tcPr>
          <w:p>
            <w:pPr>
              <w:spacing w:after="0"/>
              <w:rPr>
                <w:sz w:val="24"/>
                <w:szCs w:val="24"/>
                <w:color w:val="auto"/>
              </w:rPr>
            </w:pPr>
          </w:p>
        </w:tc>
        <w:tc>
          <w:tcPr>
            <w:tcW w:w="7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Net cash used in operating activities</w:t>
            </w: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(86,099)</w:t>
            </w:r>
          </w:p>
        </w:tc>
        <w:tc>
          <w:tcPr>
            <w:tcW w:w="60" w:type="dxa"/>
            <w:vAlign w:val="bottom"/>
            <w:shd w:val="clear" w:color="auto" w:fill="E3E4E5"/>
          </w:tcPr>
          <w:p>
            <w:pPr>
              <w:spacing w:after="0"/>
              <w:rPr>
                <w:sz w:val="24"/>
                <w:szCs w:val="24"/>
                <w:color w:val="auto"/>
              </w:rPr>
            </w:pPr>
          </w:p>
        </w:tc>
        <w:tc>
          <w:tcPr>
            <w:tcW w:w="480" w:type="dxa"/>
            <w:vAlign w:val="bottom"/>
            <w:gridSpan w:val="2"/>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(100,406)</w:t>
            </w:r>
          </w:p>
        </w:tc>
      </w:tr>
      <w:tr>
        <w:trPr>
          <w:trHeight w:val="278"/>
        </w:trPr>
        <w:tc>
          <w:tcPr>
            <w:tcW w:w="60" w:type="dxa"/>
            <w:vAlign w:val="bottom"/>
          </w:tcPr>
          <w:p>
            <w:pPr>
              <w:spacing w:after="0"/>
              <w:rPr>
                <w:sz w:val="24"/>
                <w:szCs w:val="24"/>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Net cash provided by (used in) investing activities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112,040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(29,904)</w:t>
            </w:r>
          </w:p>
        </w:tc>
      </w:tr>
      <w:tr>
        <w:trPr>
          <w:trHeight w:val="293"/>
        </w:trPr>
        <w:tc>
          <w:tcPr>
            <w:tcW w:w="60" w:type="dxa"/>
            <w:vAlign w:val="bottom"/>
            <w:shd w:val="clear" w:color="auto" w:fill="E3E4E5"/>
          </w:tcPr>
          <w:p>
            <w:pPr>
              <w:spacing w:after="0"/>
              <w:rPr>
                <w:sz w:val="24"/>
                <w:szCs w:val="24"/>
                <w:color w:val="auto"/>
              </w:rPr>
            </w:pPr>
          </w:p>
        </w:tc>
        <w:tc>
          <w:tcPr>
            <w:tcW w:w="750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454546"/>
              </w:rPr>
              <w:t>Net cash provided by financing activities</w:t>
            </w: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1,023</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6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105,428</w:t>
            </w:r>
          </w:p>
        </w:tc>
      </w:tr>
      <w:tr>
        <w:trPr>
          <w:trHeight w:val="265"/>
        </w:trPr>
        <w:tc>
          <w:tcPr>
            <w:tcW w:w="60" w:type="dxa"/>
            <w:vAlign w:val="bottom"/>
          </w:tcPr>
          <w:p>
            <w:pPr>
              <w:spacing w:after="0"/>
              <w:rPr>
                <w:sz w:val="23"/>
                <w:szCs w:val="23"/>
                <w:color w:val="auto"/>
              </w:rPr>
            </w:pPr>
          </w:p>
        </w:tc>
        <w:tc>
          <w:tcPr>
            <w:tcW w:w="75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454546"/>
              </w:rPr>
              <w:t>Net increase (decrease) in cash, cash equivalents and restricted cash</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26,964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(24,882)</w:t>
            </w:r>
          </w:p>
        </w:tc>
      </w:tr>
      <w:tr>
        <w:trPr>
          <w:trHeight w:val="20"/>
        </w:trPr>
        <w:tc>
          <w:tcPr>
            <w:tcW w:w="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Operating Activities</w:t>
      </w:r>
    </w:p>
    <w:p>
      <w:pPr>
        <w:spacing w:after="0" w:line="128" w:lineRule="exact"/>
        <w:rPr>
          <w:sz w:val="20"/>
          <w:szCs w:val="20"/>
          <w:color w:val="auto"/>
        </w:rPr>
      </w:pPr>
    </w:p>
    <w:p>
      <w:pPr>
        <w:ind w:left="60" w:right="80"/>
        <w:spacing w:after="0" w:line="257" w:lineRule="auto"/>
        <w:rPr>
          <w:sz w:val="20"/>
          <w:szCs w:val="20"/>
          <w:color w:val="auto"/>
        </w:rPr>
      </w:pPr>
      <w:r>
        <w:rPr>
          <w:rFonts w:ascii="Times New Roman" w:cs="Times New Roman" w:eastAsia="Times New Roman" w:hAnsi="Times New Roman"/>
          <w:sz w:val="20"/>
          <w:szCs w:val="20"/>
          <w:color w:val="454546"/>
        </w:rPr>
        <w:t>For the year ended December 31, 2025, operating activities used $86.1 million of cash, resulting from our net loss of $74.3 million to fund our operations and by changes in our operating assets and liabilities of $32.1 million partially offset by net non-cash charges of $20.3 million. Net cash used in changes in our operating assets and liabilities for the year ended December 31, 2025 consisted primarily of a decrease of $30.9 million in deferred revenue resulting from the recognition of revenue on the upfront payments received in connection with our collaboration agreements and a $6.7 million decrease in operating lease liabilities, partially offset by a $5.5 million net increase in working capital.</w:t>
      </w:r>
    </w:p>
    <w:p>
      <w:pPr>
        <w:spacing w:after="0" w:line="82" w:lineRule="exact"/>
        <w:rPr>
          <w:sz w:val="20"/>
          <w:szCs w:val="20"/>
          <w:color w:val="auto"/>
        </w:rPr>
      </w:pPr>
    </w:p>
    <w:p>
      <w:pPr>
        <w:ind w:left="60" w:right="20"/>
        <w:spacing w:after="0" w:line="257" w:lineRule="auto"/>
        <w:rPr>
          <w:sz w:val="20"/>
          <w:szCs w:val="20"/>
          <w:color w:val="auto"/>
        </w:rPr>
      </w:pPr>
      <w:r>
        <w:rPr>
          <w:rFonts w:ascii="Times New Roman" w:cs="Times New Roman" w:eastAsia="Times New Roman" w:hAnsi="Times New Roman"/>
          <w:sz w:val="20"/>
          <w:szCs w:val="20"/>
          <w:color w:val="454546"/>
        </w:rPr>
        <w:t>For the year ended December 31, 2024, operating activities used $100.4 million of cash, resulting from our net loss of $86.6 million to fund our operations and by changes in our operating assets and liabilities of $32.3 million partially offset by net non-cash charges of $18.5 million. Net cash provided by changes in our operating assets and liabilities for the year ended December 31, 2024 consisted primarily of a decrease of $22.6 million in deferred revenue resulting from the recognition of revenue on the upfront payments received in connection with our collaboration agreements, a $7.9 million decrease in operating lease liabilities and a $1.7 million net decrease in working capital.</w:t>
      </w:r>
    </w:p>
    <w:p>
      <w:pPr>
        <w:sectPr>
          <w:pgSz w:w="11880" w:h="15480" w:orient="portrait"/>
          <w:cols w:equalWidth="0" w:num="1">
            <w:col w:w="10320"/>
          </w:cols>
          <w:pgMar w:left="760" w:top="5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71</w:t>
      </w:r>
    </w:p>
    <w:p>
      <w:pPr>
        <w:sectPr>
          <w:pgSz w:w="11880" w:h="15480" w:orient="portrait"/>
          <w:cols w:equalWidth="0" w:num="1">
            <w:col w:w="10320"/>
          </w:cols>
          <w:pgMar w:left="760" w:top="504" w:right="80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i w:val="1"/>
          <w:iCs w:val="1"/>
          <w:color w:val="454546"/>
        </w:rPr>
        <w:t>Investing Activities</w:t>
      </w:r>
    </w:p>
    <w:p>
      <w:pPr>
        <w:spacing w:after="0" w:line="128" w:lineRule="exact"/>
        <w:rPr>
          <w:sz w:val="20"/>
          <w:szCs w:val="20"/>
          <w:color w:val="auto"/>
        </w:rPr>
      </w:pPr>
    </w:p>
    <w:p>
      <w:pPr>
        <w:jc w:val="both"/>
        <w:ind w:right="480"/>
        <w:spacing w:after="0" w:line="269" w:lineRule="auto"/>
        <w:rPr>
          <w:sz w:val="20"/>
          <w:szCs w:val="20"/>
          <w:color w:val="auto"/>
        </w:rPr>
      </w:pPr>
      <w:r>
        <w:rPr>
          <w:rFonts w:ascii="Times New Roman" w:cs="Times New Roman" w:eastAsia="Times New Roman" w:hAnsi="Times New Roman"/>
          <w:sz w:val="20"/>
          <w:szCs w:val="20"/>
          <w:color w:val="454546"/>
        </w:rPr>
        <w:t>For the year ended December 31, 2025, net cash provided by investing activities was $112.0 million consisting of $243.3 million of marketable securities maturing partially offset by $131.2 million of purchases of marketable securities and $0.1 million in purchases of property and equipment.</w:t>
      </w:r>
    </w:p>
    <w:p>
      <w:pPr>
        <w:spacing w:after="0" w:line="6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454546"/>
        </w:rPr>
        <w:t>For the year ended December 31, 2024, net cash used in investing activities was $29.9 million primarily due to $261.5 million of purchases of marketable securities and $0.9 million in purchases of property and equipment offset by $232.5 million of marketable securities maturing.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454546"/>
        </w:rPr>
        <w:t>Financing Activities</w:t>
      </w:r>
    </w:p>
    <w:p>
      <w:pPr>
        <w:spacing w:after="0" w:line="12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454546"/>
        </w:rPr>
        <w:t>For the year ended December 31, 2025, net cash provided by financing activities was $1.0 million, consisting of $0.5 million net proceeds from the sale of common stock under our ATM Facility and $0.5 million net proceeds from the exercise of common stock options and the employee stock purchase plan.</w:t>
      </w:r>
    </w:p>
    <w:p>
      <w:pPr>
        <w:spacing w:after="0" w:line="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454546"/>
        </w:rPr>
        <w:t>For the year ended December 31, 2024, net cash provided by financing activities was $105.4 million, consisting of net proceeds from the offering of our common stock and pre-funded warrants of $102.8 million, after deducting underwriting discounts, commissions and other offering expenses that had been paid in during the twelve months ended December 31, 2024 and $2.6 million net proceeds from the exercise of common stock options and the employee stock purchase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Funding Requirements</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We expect our expenses to increase substantially in connection with our ongoing activities, particularly as we continue to fund on-going and potential future clinical activities, including the Phase 1 clinical trial of FHD-909 partnered with Lilly, advance preclinical activities, and initiate clinical trials for our product candidates in development, including those partnered with Lilly. As of the issuance date of the consolidated financial statements included elsewhere in this Annual Report on Form 10-K, we expect that our cash, cash equivalents and marketable securities will be sufficient to fund our operating expenses and capital expenditure requirements for at least twelve months. We have based this estimate on assumptions that may prove to be inaccurate. We could use our available capital resources sooner than we currently expect, in which case we would be required to obtain additional financing sooner than planned, which may not be available to us on acceptable terms, or at all. Our failure to raise capital as and when needed would have a negative impact on our financial condition and our ability to pursue our long-term business strategy. We will be required to obtain further funding through public or private equity offerings, debt financings, collaborations and licensing arrangements or other sources.</w:t>
      </w:r>
    </w:p>
    <w:p>
      <w:pPr>
        <w:spacing w:after="0" w:line="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454546"/>
        </w:rPr>
        <w:t>If we are unable to raise sufficient capital as and when needed, we may be required to significantly curtail, delay or discontinue one or more of our research or development programs or the commercialization of any product candidate we may develop, or be unable to expand our operations or otherwise capitalize on our business opportunities. If we raise additional funds through collaborations or licensing arrangements with third parties, we may have to relinquish valuable rights to future revenue streams or product candidates or grant licenses on terms that may not be favorable to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Off-balance Sheet Arrangements</w:t>
      </w:r>
    </w:p>
    <w:p>
      <w:pPr>
        <w:spacing w:after="0" w:line="13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color w:val="454546"/>
        </w:rPr>
        <w:t>We did not have during the periods presented, and we do not currently have, any off-balance sheet arrangements, as defined in the rules and regulations of the Securities and Exchange Commission.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Recently Issued Accounting Pronouncements</w:t>
      </w:r>
    </w:p>
    <w:p>
      <w:pPr>
        <w:spacing w:after="0" w:line="134"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20"/>
          <w:szCs w:val="20"/>
          <w:color w:val="454546"/>
        </w:rPr>
        <w:t>A description of recently issued accounting pronouncements that may potentially impact our financial position and results of operations is disclosed in Note 2 to our consolidated financial statements appearing elsewhere in this Annual Report on Form 10-K.</w:t>
      </w:r>
    </w:p>
    <w:p>
      <w:pPr>
        <w:spacing w:after="0" w:line="30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7A.</w:t>
      </w:r>
      <w:r>
        <w:rPr>
          <w:sz w:val="20"/>
          <w:szCs w:val="20"/>
          <w:color w:val="auto"/>
        </w:rPr>
        <w:tab/>
      </w:r>
      <w:r>
        <w:rPr>
          <w:rFonts w:ascii="Times New Roman" w:cs="Times New Roman" w:eastAsia="Times New Roman" w:hAnsi="Times New Roman"/>
          <w:sz w:val="19"/>
          <w:szCs w:val="19"/>
          <w:b w:val="1"/>
          <w:bCs w:val="1"/>
          <w:color w:val="454546"/>
        </w:rPr>
        <w:t>QUANTITATIVE AND QUALITATIVE DISCLOSURES ABOUT MARKET RISK</w:t>
      </w:r>
    </w:p>
    <w:p>
      <w:pPr>
        <w:spacing w:after="0" w:line="13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color w:val="454546"/>
        </w:rPr>
        <w:t>We are a smaller reporting company, as defined in Rule 12b-2 under the Securities Exchange Act of 1934, as amended, for this reporting period and are not required to provide the information required under this item.</w:t>
      </w:r>
    </w:p>
    <w:p>
      <w:pPr>
        <w:sectPr>
          <w:pgSz w:w="11880" w:h="15480" w:orient="portrait"/>
          <w:cols w:equalWidth="0" w:num="1">
            <w:col w:w="10240"/>
          </w:cols>
          <w:pgMar w:left="820" w:top="5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72</w:t>
      </w:r>
    </w:p>
    <w:p>
      <w:pPr>
        <w:sectPr>
          <w:pgSz w:w="11880" w:h="15480" w:orient="portrait"/>
          <w:cols w:equalWidth="0" w:num="1">
            <w:col w:w="10240"/>
          </w:cols>
          <w:pgMar w:left="820" w:top="506" w:right="82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454546"/>
        </w:rPr>
        <w:t>ITEM 8. CONSOLIDATED FINANCIAL STATEMENTS AND SUPPLEMENTARY DATA</w:t>
      </w:r>
    </w:p>
    <w:p>
      <w:pPr>
        <w:spacing w:after="0" w:line="2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454546"/>
        </w:rPr>
        <w:t>Index to Consolidated Financial Statements</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9460" w:type="dxa"/>
            <w:vAlign w:val="bottom"/>
          </w:tcPr>
          <w:p>
            <w:pPr>
              <w:spacing w:after="0"/>
              <w:rPr>
                <w:sz w:val="20"/>
                <w:szCs w:val="20"/>
                <w:color w:val="auto"/>
              </w:rPr>
            </w:pPr>
          </w:p>
        </w:tc>
        <w:tc>
          <w:tcPr>
            <w:tcW w:w="52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454546"/>
              </w:rPr>
              <w:t>Page</w:t>
            </w:r>
          </w:p>
        </w:tc>
      </w:tr>
      <w:tr>
        <w:trPr>
          <w:trHeight w:val="265"/>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454546"/>
              </w:rPr>
              <w:t>Report of Independent Registered Public Accounting Firm (PCAOB ID No. 34)</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74</w:t>
            </w:r>
          </w:p>
        </w:tc>
      </w:tr>
      <w:tr>
        <w:trPr>
          <w:trHeight w:val="272"/>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454546"/>
              </w:rPr>
              <w:t>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76</w:t>
            </w:r>
          </w:p>
        </w:tc>
      </w:tr>
      <w:tr>
        <w:trPr>
          <w:trHeight w:val="283"/>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454546"/>
              </w:rPr>
              <w:t>Consolidated Statements of Operations and Comprehensive Loss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77</w:t>
            </w:r>
          </w:p>
        </w:tc>
      </w:tr>
      <w:tr>
        <w:trPr>
          <w:trHeight w:val="286"/>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454546"/>
              </w:rPr>
              <w:t>Consolidated Statements of Stockholders’ Deficit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78</w:t>
            </w:r>
          </w:p>
        </w:tc>
      </w:tr>
      <w:tr>
        <w:trPr>
          <w:trHeight w:val="286"/>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454546"/>
              </w:rPr>
              <w:t>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79</w:t>
            </w:r>
          </w:p>
        </w:tc>
      </w:tr>
      <w:tr>
        <w:trPr>
          <w:trHeight w:val="286"/>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454546"/>
              </w:rPr>
              <w:t>Notes to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80</w:t>
            </w:r>
          </w:p>
        </w:tc>
      </w:tr>
    </w:tbl>
    <w:p>
      <w:pPr>
        <w:spacing w:after="0" w:line="200" w:lineRule="exact"/>
        <w:rPr>
          <w:sz w:val="20"/>
          <w:szCs w:val="20"/>
          <w:color w:val="auto"/>
        </w:rPr>
      </w:pPr>
    </w:p>
    <w:p>
      <w:pPr>
        <w:sectPr>
          <w:pgSz w:w="11880" w:h="15480" w:orient="portrait"/>
          <w:cols w:equalWidth="0" w:num="1">
            <w:col w:w="10020"/>
          </w:cols>
          <w:pgMar w:left="820" w:top="50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454546"/>
        </w:rPr>
        <w:t>73</w:t>
      </w:r>
    </w:p>
    <w:p>
      <w:pPr>
        <w:sectPr>
          <w:pgSz w:w="11880" w:h="15480" w:orient="portrait"/>
          <w:cols w:equalWidth="0" w:num="1">
            <w:col w:w="10020"/>
          </w:cols>
          <w:pgMar w:left="820" w:top="500" w:right="10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454546"/>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F2D2E"/>
        </w:rPr>
        <w:t>To the Stockholders and the Board of Directors of Foghorn Therapeutics Inc.</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Opinion on the Financial Statements</w:t>
      </w:r>
    </w:p>
    <w:p>
      <w:pPr>
        <w:spacing w:after="0" w:line="13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20"/>
          <w:szCs w:val="20"/>
          <w:color w:val="454546"/>
        </w:rPr>
        <w:t>We have audited the accompanying consolidated balance sheets of Foghorn Therapeutics, Inc. and its subsidiary (the "Company") as of December 31, 2025 and 2024, the related consolidated statements of operations and comprehensive loss, shareholders'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Basis for Opinion</w:t>
      </w:r>
    </w:p>
    <w:p>
      <w:pPr>
        <w:spacing w:after="0" w:line="13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454546"/>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454546"/>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454546"/>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Critical Audit Matter</w:t>
      </w:r>
    </w:p>
    <w:p>
      <w:pPr>
        <w:spacing w:after="0" w:line="13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454546"/>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20"/>
          <w:szCs w:val="20"/>
          <w:b w:val="1"/>
          <w:bCs w:val="1"/>
          <w:color w:val="454546"/>
        </w:rPr>
        <w:t xml:space="preserve">Collaboration Revenue - Refer to Notes 2 and 8 to the financial statements </w:t>
      </w:r>
      <w:r>
        <w:rPr>
          <w:rFonts w:ascii="Times New Roman" w:cs="Times New Roman" w:eastAsia="Times New Roman" w:hAnsi="Times New Roman"/>
          <w:sz w:val="20"/>
          <w:szCs w:val="20"/>
          <w:i w:val="1"/>
          <w:iCs w:val="1"/>
          <w:color w:val="454546"/>
        </w:rPr>
        <w:t>Critical Audit Matter Description</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During the year ended December 31, 2025, the Company recognized revenue of $30.9 million. As discussed in Note 2 to the consolidated financial statements, at inception, the Company determines whether contracts are within the scope of ASC 606, Revenue from Contracts with Customers, or ASC 606, or other topics. Under ASC 606, the Company recognizes revenue when its customer obtains control of promised goods or services in an amount that reflects the consideration that the Company expects to receive in exchange for those goods or services. To determine revenue recognition for arrangements within the scope of ASC 606, the Company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For performance obligations where revenue is recognized over time, the Company evaluates the measure of progress each reporting period and, if necessary, adjusts the measure of performance and related revenue recognition. The Company recognizes revenue using the cost-to-cost method, where the extent of progress towards completion is measured based on the ratio of actual costs incurred to the total estimated costs expected upon satisfying the identified performance obligation. The impacts on revenue from changes in total estimated costs are recognized on a cumulative basis in the period when the changes occur. If estimates of the total cost change, or if contract amendments change the scope of the performance obligation, the required adjustments to revenue could be material.</w:t>
      </w:r>
    </w:p>
    <w:p>
      <w:pPr>
        <w:sectPr>
          <w:pgSz w:w="11880" w:h="15480" w:orient="portrait"/>
          <w:cols w:equalWidth="0" w:num="1">
            <w:col w:w="10260"/>
          </w:cols>
          <w:pgMar w:left="820" w:top="500" w:right="80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74</w:t>
      </w:r>
    </w:p>
    <w:p>
      <w:pPr>
        <w:sectPr>
          <w:pgSz w:w="11880" w:h="15480" w:orient="portrait"/>
          <w:cols w:equalWidth="0" w:num="1">
            <w:col w:w="10260"/>
          </w:cols>
          <w:pgMar w:left="820" w:top="500" w:right="800" w:bottom="0" w:gutter="0" w:footer="0" w:header="0"/>
          <w:type w:val="continuous"/>
        </w:sectPr>
      </w:pPr>
    </w:p>
    <w:bookmarkStart w:id="76" w:name="page77"/>
    <w:bookmarkEnd w:id="76"/>
    <w:p>
      <w:pPr>
        <w:ind w:left="9"/>
        <w:spacing w:after="0" w:line="289" w:lineRule="auto"/>
        <w:rPr>
          <w:sz w:val="20"/>
          <w:szCs w:val="20"/>
          <w:color w:val="auto"/>
        </w:rPr>
      </w:pPr>
      <w:r>
        <w:rPr>
          <w:rFonts w:ascii="Times New Roman" w:cs="Times New Roman" w:eastAsia="Times New Roman" w:hAnsi="Times New Roman"/>
          <w:sz w:val="19"/>
          <w:szCs w:val="19"/>
          <w:color w:val="454546"/>
        </w:rPr>
        <w:t>We identified revenue recognition as a critical audit matter because of the judgments necessary for management to estimate total costs to satisfy the applicable performance obligation under the contract. This required a high degree of auditor judgment when performing audit procedures to audit management’s estimates of total costs and evaluating the results of those procedures.</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color w:val="454546"/>
        </w:rPr>
        <w:t>How the Critical Audit Matter Was Addressed in the Audit</w:t>
      </w:r>
    </w:p>
    <w:p>
      <w:pPr>
        <w:spacing w:after="0" w:line="12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454546"/>
        </w:rPr>
        <w:t>Our audit procedures related to collaboration revenue included the following, among others:</w:t>
      </w:r>
    </w:p>
    <w:p>
      <w:pPr>
        <w:spacing w:after="0" w:line="130" w:lineRule="exact"/>
        <w:rPr>
          <w:sz w:val="20"/>
          <w:szCs w:val="20"/>
          <w:color w:val="auto"/>
        </w:rPr>
      </w:pPr>
    </w:p>
    <w:p>
      <w:pPr>
        <w:ind w:left="369" w:hanging="369"/>
        <w:spacing w:after="0"/>
        <w:tabs>
          <w:tab w:leader="none" w:pos="369"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obtained and read the relevant contracts and other documents related to the collaboration agreement.</w:t>
      </w:r>
    </w:p>
    <w:p>
      <w:pPr>
        <w:spacing w:after="0" w:line="129" w:lineRule="exact"/>
        <w:rPr>
          <w:rFonts w:ascii="Times New Roman" w:cs="Times New Roman" w:eastAsia="Times New Roman" w:hAnsi="Times New Roman"/>
          <w:sz w:val="20"/>
          <w:szCs w:val="20"/>
          <w:color w:val="454546"/>
        </w:rPr>
      </w:pPr>
    </w:p>
    <w:p>
      <w:pPr>
        <w:ind w:left="369" w:right="500" w:hanging="369"/>
        <w:spacing w:after="0" w:line="287" w:lineRule="auto"/>
        <w:tabs>
          <w:tab w:leader="none" w:pos="369"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evaluated the Company’s accounting analysis for the applicable contract, including the application to the relevant authoritative guidance.</w:t>
      </w:r>
    </w:p>
    <w:p>
      <w:pPr>
        <w:spacing w:after="0" w:line="49" w:lineRule="exact"/>
        <w:rPr>
          <w:rFonts w:ascii="Times New Roman" w:cs="Times New Roman" w:eastAsia="Times New Roman" w:hAnsi="Times New Roman"/>
          <w:sz w:val="20"/>
          <w:szCs w:val="20"/>
          <w:color w:val="454546"/>
        </w:rPr>
      </w:pPr>
    </w:p>
    <w:p>
      <w:pPr>
        <w:ind w:left="369" w:right="300" w:hanging="369"/>
        <w:spacing w:after="0" w:line="287" w:lineRule="auto"/>
        <w:tabs>
          <w:tab w:leader="none" w:pos="369"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tested the amount of revenue recognized, including the measurement of progress for revenue that is recognized over time.</w:t>
      </w:r>
    </w:p>
    <w:p>
      <w:pPr>
        <w:spacing w:after="0" w:line="49" w:lineRule="exact"/>
        <w:rPr>
          <w:rFonts w:ascii="Times New Roman" w:cs="Times New Roman" w:eastAsia="Times New Roman" w:hAnsi="Times New Roman"/>
          <w:sz w:val="20"/>
          <w:szCs w:val="20"/>
          <w:color w:val="454546"/>
        </w:rPr>
      </w:pPr>
    </w:p>
    <w:p>
      <w:pPr>
        <w:ind w:left="369" w:right="100" w:hanging="369"/>
        <w:spacing w:after="0" w:line="287" w:lineRule="auto"/>
        <w:tabs>
          <w:tab w:leader="none" w:pos="369"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tested management’s estimate of the total cost of fulfilling the performance obligation, including retrospective reviews of the changes in such estimates over time.</w:t>
      </w:r>
    </w:p>
    <w:p>
      <w:pPr>
        <w:spacing w:after="0" w:line="49" w:lineRule="exact"/>
        <w:rPr>
          <w:rFonts w:ascii="Times New Roman" w:cs="Times New Roman" w:eastAsia="Times New Roman" w:hAnsi="Times New Roman"/>
          <w:sz w:val="20"/>
          <w:szCs w:val="20"/>
          <w:color w:val="454546"/>
        </w:rPr>
      </w:pPr>
    </w:p>
    <w:p>
      <w:pPr>
        <w:ind w:left="369" w:right="20" w:hanging="369"/>
        <w:spacing w:after="0" w:line="287" w:lineRule="auto"/>
        <w:tabs>
          <w:tab w:leader="none" w:pos="369" w:val="left"/>
        </w:tabs>
        <w:numPr>
          <w:ilvl w:val="0"/>
          <w:numId w:val="38"/>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We also discussed the basis for key assumptions with the Company's research and development personnel, who oversee the completion of the collaboration arrangement.</w:t>
      </w:r>
    </w:p>
    <w:p>
      <w:pPr>
        <w:spacing w:after="0" w:line="1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454546"/>
        </w:rPr>
        <w:t>/s/ Deloitte &amp; Touche LLP</w:t>
      </w:r>
    </w:p>
    <w:p>
      <w:pPr>
        <w:spacing w:after="0" w:line="2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454546"/>
        </w:rPr>
        <w:t>Boston, Massachusetts</w:t>
      </w:r>
    </w:p>
    <w:p>
      <w:pPr>
        <w:spacing w:after="0" w:line="3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454546"/>
        </w:rPr>
        <w:t>March 11, 2026</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454546"/>
        </w:rPr>
        <w:t>We have served as the Company’s auditor since 2018.</w:t>
      </w:r>
    </w:p>
    <w:p>
      <w:pPr>
        <w:sectPr>
          <w:pgSz w:w="11880" w:h="15480" w:orient="portrait"/>
          <w:cols w:equalWidth="0" w:num="1">
            <w:col w:w="10249"/>
          </w:cols>
          <w:pgMar w:left="811"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454546"/>
        </w:rPr>
        <w:t>75</w:t>
      </w:r>
    </w:p>
    <w:p>
      <w:pPr>
        <w:sectPr>
          <w:pgSz w:w="11880" w:h="15480" w:orient="portrait"/>
          <w:cols w:equalWidth="0" w:num="1">
            <w:col w:w="10249"/>
          </w:cols>
          <w:pgMar w:left="811" w:top="504" w:right="82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7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454546"/>
                <w:w w:val="99"/>
              </w:rPr>
              <w:t>2024</w:t>
            </w:r>
          </w:p>
        </w:tc>
        <w:tc>
          <w:tcPr>
            <w:tcW w:w="0" w:type="dxa"/>
            <w:vAlign w:val="bottom"/>
          </w:tcPr>
          <w:p>
            <w:pPr>
              <w:spacing w:after="0"/>
              <w:rPr>
                <w:sz w:val="1"/>
                <w:szCs w:val="1"/>
                <w:color w:val="auto"/>
              </w:rPr>
            </w:pPr>
          </w:p>
        </w:tc>
      </w:tr>
      <w:tr>
        <w:trPr>
          <w:trHeight w:val="44"/>
        </w:trPr>
        <w:tc>
          <w:tcPr>
            <w:tcW w:w="40" w:type="dxa"/>
            <w:vAlign w:val="bottom"/>
            <w:tcBorders>
              <w:bottom w:val="single" w:sz="8" w:color="E3E4E5"/>
            </w:tcBorders>
          </w:tcPr>
          <w:p>
            <w:pPr>
              <w:spacing w:after="0"/>
              <w:rPr>
                <w:sz w:val="3"/>
                <w:szCs w:val="3"/>
                <w:color w:val="auto"/>
              </w:rPr>
            </w:pPr>
          </w:p>
        </w:tc>
        <w:tc>
          <w:tcPr>
            <w:tcW w:w="7460" w:type="dxa"/>
            <w:vAlign w:val="bottom"/>
            <w:tcBorders>
              <w:bottom w:val="single" w:sz="8" w:color="E3E4E5"/>
            </w:tcBorders>
          </w:tcPr>
          <w:p>
            <w:pPr>
              <w:spacing w:after="0"/>
              <w:rPr>
                <w:sz w:val="3"/>
                <w:szCs w:val="3"/>
                <w:color w:val="auto"/>
              </w:rPr>
            </w:pPr>
          </w:p>
        </w:tc>
        <w:tc>
          <w:tcPr>
            <w:tcW w:w="40" w:type="dxa"/>
            <w:vAlign w:val="bottom"/>
            <w:tcBorders>
              <w:bottom w:val="single" w:sz="8" w:color="E3E4E5"/>
            </w:tcBorders>
          </w:tcPr>
          <w:p>
            <w:pPr>
              <w:spacing w:after="0"/>
              <w:rPr>
                <w:sz w:val="3"/>
                <w:szCs w:val="3"/>
                <w:color w:val="auto"/>
              </w:rPr>
            </w:pPr>
          </w:p>
        </w:tc>
        <w:tc>
          <w:tcPr>
            <w:tcW w:w="20" w:type="dxa"/>
            <w:vAlign w:val="bottom"/>
            <w:tcBorders>
              <w:bottom w:val="single" w:sz="8" w:color="E3E4E5"/>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tcBorders>
              <w:bottom w:val="single" w:sz="8" w:color="E3E4E5"/>
            </w:tcBorders>
          </w:tcPr>
          <w:p>
            <w:pPr>
              <w:spacing w:after="0"/>
              <w:rPr>
                <w:sz w:val="3"/>
                <w:szCs w:val="3"/>
                <w:color w:val="auto"/>
              </w:rPr>
            </w:pPr>
          </w:p>
        </w:tc>
        <w:tc>
          <w:tcPr>
            <w:tcW w:w="20" w:type="dxa"/>
            <w:vAlign w:val="bottom"/>
            <w:tcBorders>
              <w:bottom w:val="single" w:sz="8" w:color="E3E4E5"/>
            </w:tcBorders>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40" w:type="dxa"/>
            <w:vAlign w:val="bottom"/>
            <w:shd w:val="clear" w:color="auto" w:fill="E3E4E5"/>
          </w:tcPr>
          <w:p>
            <w:pPr>
              <w:spacing w:after="0"/>
              <w:rPr>
                <w:sz w:val="23"/>
                <w:szCs w:val="23"/>
                <w:color w:val="auto"/>
              </w:rPr>
            </w:pPr>
          </w:p>
        </w:tc>
        <w:tc>
          <w:tcPr>
            <w:tcW w:w="74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460" w:type="dxa"/>
            <w:vAlign w:val="bottom"/>
            <w:shd w:val="clear" w:color="auto" w:fill="E3E4E5"/>
          </w:tcPr>
          <w:p>
            <w:pPr>
              <w:spacing w:after="0"/>
              <w:rPr>
                <w:sz w:val="23"/>
                <w:szCs w:val="23"/>
                <w:color w:val="auto"/>
              </w:rPr>
            </w:pPr>
          </w:p>
        </w:tc>
        <w:tc>
          <w:tcPr>
            <w:tcW w:w="84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Current assets:</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80,876</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55,454</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5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Marketable securities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78,018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188,293</w:t>
            </w:r>
          </w:p>
        </w:tc>
        <w:tc>
          <w:tcPr>
            <w:tcW w:w="0" w:type="dxa"/>
            <w:vAlign w:val="bottom"/>
          </w:tcPr>
          <w:p>
            <w:pPr>
              <w:spacing w:after="0"/>
              <w:rPr>
                <w:sz w:val="1"/>
                <w:szCs w:val="1"/>
                <w:color w:val="auto"/>
              </w:rPr>
            </w:pPr>
          </w:p>
        </w:tc>
      </w:tr>
      <w:tr>
        <w:trPr>
          <w:trHeight w:val="273"/>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Restricted cash</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1,250</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84"/>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Prepaid expenses and other current assets</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3,091</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5,854</w:t>
            </w:r>
          </w:p>
        </w:tc>
        <w:tc>
          <w:tcPr>
            <w:tcW w:w="0" w:type="dxa"/>
            <w:vAlign w:val="bottom"/>
          </w:tcPr>
          <w:p>
            <w:pPr>
              <w:spacing w:after="0"/>
              <w:rPr>
                <w:sz w:val="1"/>
                <w:szCs w:val="1"/>
                <w:color w:val="auto"/>
              </w:rPr>
            </w:pPr>
          </w:p>
        </w:tc>
      </w:tr>
      <w:tr>
        <w:trPr>
          <w:trHeight w:val="265"/>
        </w:trPr>
        <w:tc>
          <w:tcPr>
            <w:tcW w:w="40" w:type="dxa"/>
            <w:vAlign w:val="bottom"/>
            <w:shd w:val="clear" w:color="auto" w:fill="E3E4E5"/>
          </w:tcPr>
          <w:p>
            <w:pPr>
              <w:spacing w:after="0"/>
              <w:rPr>
                <w:sz w:val="23"/>
                <w:szCs w:val="23"/>
                <w:color w:val="auto"/>
              </w:rPr>
            </w:pPr>
          </w:p>
        </w:tc>
        <w:tc>
          <w:tcPr>
            <w:tcW w:w="746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Total current assets</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163,235</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460" w:type="dxa"/>
            <w:vAlign w:val="bottom"/>
            <w:shd w:val="clear" w:color="auto" w:fill="E3E4E5"/>
          </w:tcPr>
          <w:p>
            <w:pPr>
              <w:spacing w:after="0"/>
              <w:rPr>
                <w:sz w:val="23"/>
                <w:szCs w:val="23"/>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249,601</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Property and equipment,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9,964</w:t>
            </w:r>
          </w:p>
        </w:tc>
        <w:tc>
          <w:tcPr>
            <w:tcW w:w="0" w:type="dxa"/>
            <w:vAlign w:val="bottom"/>
          </w:tcPr>
          <w:p>
            <w:pPr>
              <w:spacing w:after="0"/>
              <w:rPr>
                <w:sz w:val="1"/>
                <w:szCs w:val="1"/>
                <w:color w:val="auto"/>
              </w:rPr>
            </w:pPr>
          </w:p>
        </w:tc>
      </w:tr>
      <w:tr>
        <w:trPr>
          <w:trHeight w:val="273"/>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Restricted cash</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2,000</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1,708</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Other assets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68</w:t>
            </w:r>
          </w:p>
        </w:tc>
        <w:tc>
          <w:tcPr>
            <w:tcW w:w="0" w:type="dxa"/>
            <w:vAlign w:val="bottom"/>
          </w:tcPr>
          <w:p>
            <w:pPr>
              <w:spacing w:after="0"/>
              <w:rPr>
                <w:sz w:val="1"/>
                <w:szCs w:val="1"/>
                <w:color w:val="auto"/>
              </w:rPr>
            </w:pPr>
          </w:p>
        </w:tc>
      </w:tr>
      <w:tr>
        <w:trPr>
          <w:trHeight w:val="292"/>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Operating lease right-of-use assets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30,949</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60" w:type="dxa"/>
            <w:vAlign w:val="bottom"/>
            <w:tcBorders>
              <w:bottom w:val="single" w:sz="8" w:color="E3E4E5"/>
            </w:tcBorders>
            <w:shd w:val="clear" w:color="auto" w:fill="E3E4E5"/>
          </w:tcPr>
          <w:p>
            <w:pPr>
              <w:spacing w:after="0"/>
              <w:rPr>
                <w:sz w:val="24"/>
                <w:szCs w:val="24"/>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22,641</w:t>
            </w:r>
          </w:p>
        </w:tc>
        <w:tc>
          <w:tcPr>
            <w:tcW w:w="0" w:type="dxa"/>
            <w:vAlign w:val="bottom"/>
          </w:tcPr>
          <w:p>
            <w:pPr>
              <w:spacing w:after="0"/>
              <w:rPr>
                <w:sz w:val="1"/>
                <w:szCs w:val="1"/>
                <w:color w:val="auto"/>
              </w:rPr>
            </w:pPr>
          </w:p>
        </w:tc>
      </w:tr>
      <w:tr>
        <w:trPr>
          <w:trHeight w:val="306"/>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3"/>
          </w:tcPr>
          <w:p>
            <w:pPr>
              <w:ind w:left="720"/>
              <w:spacing w:after="0"/>
              <w:rPr>
                <w:sz w:val="20"/>
                <w:szCs w:val="20"/>
                <w:color w:val="auto"/>
              </w:rPr>
            </w:pPr>
            <w:r>
              <w:rPr>
                <w:rFonts w:ascii="Times New Roman" w:cs="Times New Roman" w:eastAsia="Times New Roman" w:hAnsi="Times New Roman"/>
                <w:sz w:val="20"/>
                <w:szCs w:val="20"/>
                <w:color w:val="454546"/>
              </w:rPr>
              <w:t>Total assets</w:t>
            </w:r>
          </w:p>
        </w:tc>
        <w:tc>
          <w:tcPr>
            <w:tcW w:w="320" w:type="dxa"/>
            <w:vAlign w:val="bottom"/>
            <w:tcBorders>
              <w:top w:val="single" w:sz="8" w:color="231F20"/>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198,103</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460" w:type="dxa"/>
            <w:vAlign w:val="bottom"/>
            <w:tcBorders>
              <w:top w:val="single" w:sz="8" w:color="231F20"/>
              <w:bottom w:val="single" w:sz="8" w:color="231F20"/>
            </w:tcBorders>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283,982</w:t>
            </w:r>
          </w:p>
        </w:tc>
        <w:tc>
          <w:tcPr>
            <w:tcW w:w="0" w:type="dxa"/>
            <w:vAlign w:val="bottom"/>
          </w:tcPr>
          <w:p>
            <w:pPr>
              <w:spacing w:after="0"/>
              <w:rPr>
                <w:sz w:val="1"/>
                <w:szCs w:val="1"/>
                <w:color w:val="auto"/>
              </w:rPr>
            </w:pPr>
          </w:p>
        </w:tc>
      </w:tr>
      <w:tr>
        <w:trPr>
          <w:trHeight w:val="226"/>
        </w:trPr>
        <w:tc>
          <w:tcPr>
            <w:tcW w:w="40" w:type="dxa"/>
            <w:vAlign w:val="bottom"/>
            <w:shd w:val="clear" w:color="auto" w:fill="E3E4E5"/>
          </w:tcPr>
          <w:p>
            <w:pPr>
              <w:spacing w:after="0"/>
              <w:rPr>
                <w:sz w:val="19"/>
                <w:szCs w:val="19"/>
                <w:color w:val="auto"/>
              </w:rPr>
            </w:pPr>
          </w:p>
        </w:tc>
        <w:tc>
          <w:tcPr>
            <w:tcW w:w="7520" w:type="dxa"/>
            <w:vAlign w:val="bottom"/>
            <w:gridSpan w:val="3"/>
            <w:shd w:val="clear" w:color="auto" w:fill="E3E4E5"/>
          </w:tcPr>
          <w:p>
            <w:pPr>
              <w:spacing w:after="0" w:line="220" w:lineRule="exact"/>
              <w:rPr>
                <w:sz w:val="20"/>
                <w:szCs w:val="20"/>
                <w:color w:val="auto"/>
              </w:rPr>
            </w:pPr>
            <w:r>
              <w:rPr>
                <w:rFonts w:ascii="Times New Roman" w:cs="Times New Roman" w:eastAsia="Times New Roman" w:hAnsi="Times New Roman"/>
                <w:sz w:val="20"/>
                <w:szCs w:val="20"/>
                <w:b w:val="1"/>
                <w:bCs w:val="1"/>
                <w:color w:val="454546"/>
              </w:rPr>
              <w:t>Liabilities and Stockholders’ Deficit</w:t>
            </w:r>
          </w:p>
        </w:tc>
        <w:tc>
          <w:tcPr>
            <w:tcW w:w="320" w:type="dxa"/>
            <w:vAlign w:val="bottom"/>
            <w:shd w:val="clear" w:color="auto" w:fill="E3E4E5"/>
          </w:tcPr>
          <w:p>
            <w:pPr>
              <w:spacing w:after="0"/>
              <w:rPr>
                <w:sz w:val="19"/>
                <w:szCs w:val="19"/>
                <w:color w:val="auto"/>
              </w:rPr>
            </w:pPr>
          </w:p>
        </w:tc>
        <w:tc>
          <w:tcPr>
            <w:tcW w:w="98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60" w:type="dxa"/>
            <w:vAlign w:val="bottom"/>
            <w:shd w:val="clear" w:color="auto" w:fill="E3E4E5"/>
          </w:tcPr>
          <w:p>
            <w:pPr>
              <w:spacing w:after="0"/>
              <w:rPr>
                <w:sz w:val="19"/>
                <w:szCs w:val="19"/>
                <w:color w:val="auto"/>
              </w:rPr>
            </w:pPr>
          </w:p>
        </w:tc>
        <w:tc>
          <w:tcPr>
            <w:tcW w:w="84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Current liabilities:</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Accounts payable</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4,266</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3,785</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5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Accrued expenses and other current liabilities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11,357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8,531</w:t>
            </w:r>
          </w:p>
        </w:tc>
        <w:tc>
          <w:tcPr>
            <w:tcW w:w="0" w:type="dxa"/>
            <w:vAlign w:val="bottom"/>
          </w:tcPr>
          <w:p>
            <w:pPr>
              <w:spacing w:after="0"/>
              <w:rPr>
                <w:sz w:val="1"/>
                <w:szCs w:val="1"/>
                <w:color w:val="auto"/>
              </w:rPr>
            </w:pPr>
          </w:p>
        </w:tc>
      </w:tr>
      <w:tr>
        <w:trPr>
          <w:trHeight w:val="273"/>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Operating lease liabilities</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923</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9,067</w:t>
            </w:r>
          </w:p>
        </w:tc>
        <w:tc>
          <w:tcPr>
            <w:tcW w:w="0" w:type="dxa"/>
            <w:vAlign w:val="bottom"/>
          </w:tcPr>
          <w:p>
            <w:pPr>
              <w:spacing w:after="0"/>
              <w:rPr>
                <w:sz w:val="1"/>
                <w:szCs w:val="1"/>
                <w:color w:val="auto"/>
              </w:rPr>
            </w:pPr>
          </w:p>
        </w:tc>
      </w:tr>
      <w:tr>
        <w:trPr>
          <w:trHeight w:val="284"/>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Deferred revenue</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43,192</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45,606</w:t>
            </w:r>
          </w:p>
        </w:tc>
        <w:tc>
          <w:tcPr>
            <w:tcW w:w="0" w:type="dxa"/>
            <w:vAlign w:val="bottom"/>
          </w:tcPr>
          <w:p>
            <w:pPr>
              <w:spacing w:after="0"/>
              <w:rPr>
                <w:sz w:val="1"/>
                <w:szCs w:val="1"/>
                <w:color w:val="auto"/>
              </w:rPr>
            </w:pPr>
          </w:p>
        </w:tc>
      </w:tr>
      <w:tr>
        <w:trPr>
          <w:trHeight w:val="265"/>
        </w:trPr>
        <w:tc>
          <w:tcPr>
            <w:tcW w:w="40" w:type="dxa"/>
            <w:vAlign w:val="bottom"/>
            <w:shd w:val="clear" w:color="auto" w:fill="E3E4E5"/>
          </w:tcPr>
          <w:p>
            <w:pPr>
              <w:spacing w:after="0"/>
              <w:rPr>
                <w:sz w:val="23"/>
                <w:szCs w:val="23"/>
                <w:color w:val="auto"/>
              </w:rPr>
            </w:pPr>
          </w:p>
        </w:tc>
        <w:tc>
          <w:tcPr>
            <w:tcW w:w="746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Total current liabilities</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59,738</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460" w:type="dxa"/>
            <w:vAlign w:val="bottom"/>
            <w:shd w:val="clear" w:color="auto" w:fill="E3E4E5"/>
          </w:tcPr>
          <w:p>
            <w:pPr>
              <w:spacing w:after="0"/>
              <w:rPr>
                <w:sz w:val="23"/>
                <w:szCs w:val="23"/>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66,989</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Operating lease liabilities, net of current portion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40,347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28,064</w:t>
            </w:r>
          </w:p>
        </w:tc>
        <w:tc>
          <w:tcPr>
            <w:tcW w:w="0" w:type="dxa"/>
            <w:vAlign w:val="bottom"/>
          </w:tcPr>
          <w:p>
            <w:pPr>
              <w:spacing w:after="0"/>
              <w:rPr>
                <w:sz w:val="1"/>
                <w:szCs w:val="1"/>
                <w:color w:val="auto"/>
              </w:rPr>
            </w:pPr>
          </w:p>
        </w:tc>
      </w:tr>
      <w:tr>
        <w:trPr>
          <w:trHeight w:val="273"/>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Deferred revenue, net of current portion</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205,962</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234,457</w:t>
            </w:r>
          </w:p>
        </w:tc>
        <w:tc>
          <w:tcPr>
            <w:tcW w:w="0" w:type="dxa"/>
            <w:vAlign w:val="bottom"/>
          </w:tcPr>
          <w:p>
            <w:pPr>
              <w:spacing w:after="0"/>
              <w:rPr>
                <w:sz w:val="1"/>
                <w:szCs w:val="1"/>
                <w:color w:val="auto"/>
              </w:rPr>
            </w:pPr>
          </w:p>
        </w:tc>
      </w:tr>
      <w:tr>
        <w:trPr>
          <w:trHeight w:val="284"/>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Other liabilities</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556</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65"/>
        </w:trPr>
        <w:tc>
          <w:tcPr>
            <w:tcW w:w="40" w:type="dxa"/>
            <w:vAlign w:val="bottom"/>
            <w:shd w:val="clear" w:color="auto" w:fill="E3E4E5"/>
          </w:tcPr>
          <w:p>
            <w:pPr>
              <w:spacing w:after="0"/>
              <w:rPr>
                <w:sz w:val="23"/>
                <w:szCs w:val="23"/>
                <w:color w:val="auto"/>
              </w:rPr>
            </w:pPr>
          </w:p>
        </w:tc>
        <w:tc>
          <w:tcPr>
            <w:tcW w:w="746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Total liabilities</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306,603</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460" w:type="dxa"/>
            <w:vAlign w:val="bottom"/>
            <w:shd w:val="clear" w:color="auto" w:fill="E3E4E5"/>
          </w:tcPr>
          <w:p>
            <w:pPr>
              <w:spacing w:after="0"/>
              <w:rPr>
                <w:sz w:val="23"/>
                <w:szCs w:val="23"/>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329,510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Commitments and contingencies (Note 11)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Stockholders’ deficit:</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520" w:type="dxa"/>
            <w:vAlign w:val="bottom"/>
            <w:gridSpan w:val="3"/>
          </w:tcPr>
          <w:p>
            <w:pPr>
              <w:ind w:left="360"/>
              <w:spacing w:after="0" w:line="219" w:lineRule="exact"/>
              <w:rPr>
                <w:sz w:val="20"/>
                <w:szCs w:val="20"/>
                <w:color w:val="auto"/>
              </w:rPr>
            </w:pPr>
            <w:r>
              <w:rPr>
                <w:rFonts w:ascii="Times New Roman" w:cs="Times New Roman" w:eastAsia="Times New Roman" w:hAnsi="Times New Roman"/>
                <w:sz w:val="20"/>
                <w:szCs w:val="20"/>
                <w:color w:val="454546"/>
              </w:rPr>
              <w:t>Preferred stock, $0.0001 par value; 25,000,000 shares authorized as of December 31,</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75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454546"/>
              </w:rPr>
              <w:t>2025 and 2024; no shares issued and outstanding as of December 31, 2025 and 2024</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5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3E4E5"/>
          </w:tcPr>
          <w:p>
            <w:pPr>
              <w:spacing w:after="0"/>
              <w:rPr>
                <w:sz w:val="18"/>
                <w:szCs w:val="18"/>
                <w:color w:val="auto"/>
              </w:rPr>
            </w:pPr>
          </w:p>
        </w:tc>
        <w:tc>
          <w:tcPr>
            <w:tcW w:w="7460" w:type="dxa"/>
            <w:vAlign w:val="bottom"/>
            <w:shd w:val="clear" w:color="auto" w:fill="E3E4E5"/>
          </w:tcPr>
          <w:p>
            <w:pPr>
              <w:ind w:left="360"/>
              <w:spacing w:after="0" w:line="212" w:lineRule="exact"/>
              <w:rPr>
                <w:sz w:val="20"/>
                <w:szCs w:val="20"/>
                <w:color w:val="auto"/>
              </w:rPr>
            </w:pPr>
            <w:r>
              <w:rPr>
                <w:rFonts w:ascii="Times New Roman" w:cs="Times New Roman" w:eastAsia="Times New Roman" w:hAnsi="Times New Roman"/>
                <w:sz w:val="20"/>
                <w:szCs w:val="20"/>
                <w:color w:val="454546"/>
              </w:rPr>
              <w:t>Common stock, $0.0001 par value; 175,000,000 shares authorized at December 31,</w:t>
            </w:r>
          </w:p>
        </w:tc>
        <w:tc>
          <w:tcPr>
            <w:tcW w:w="40" w:type="dxa"/>
            <w:vAlign w:val="bottom"/>
            <w:shd w:val="clear" w:color="auto" w:fill="E3E4E5"/>
          </w:tcPr>
          <w:p>
            <w:pPr>
              <w:spacing w:after="0"/>
              <w:rPr>
                <w:sz w:val="18"/>
                <w:szCs w:val="18"/>
                <w:color w:val="auto"/>
              </w:rPr>
            </w:pPr>
          </w:p>
        </w:tc>
        <w:tc>
          <w:tcPr>
            <w:tcW w:w="2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98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20" w:type="dxa"/>
            <w:vAlign w:val="bottom"/>
            <w:shd w:val="clear" w:color="auto" w:fill="E3E4E5"/>
          </w:tcPr>
          <w:p>
            <w:pPr>
              <w:spacing w:after="0"/>
              <w:rPr>
                <w:sz w:val="18"/>
                <w:szCs w:val="18"/>
                <w:color w:val="auto"/>
              </w:rPr>
            </w:pPr>
          </w:p>
        </w:tc>
        <w:tc>
          <w:tcPr>
            <w:tcW w:w="460" w:type="dxa"/>
            <w:vAlign w:val="bottom"/>
            <w:shd w:val="clear" w:color="auto" w:fill="E3E4E5"/>
          </w:tcPr>
          <w:p>
            <w:pPr>
              <w:spacing w:after="0"/>
              <w:rPr>
                <w:sz w:val="18"/>
                <w:szCs w:val="18"/>
                <w:color w:val="auto"/>
              </w:rPr>
            </w:pPr>
          </w:p>
        </w:tc>
        <w:tc>
          <w:tcPr>
            <w:tcW w:w="84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E3E4E5"/>
          </w:tcPr>
          <w:p>
            <w:pPr>
              <w:spacing w:after="0"/>
              <w:rPr>
                <w:sz w:val="19"/>
                <w:szCs w:val="19"/>
                <w:color w:val="auto"/>
              </w:rPr>
            </w:pPr>
          </w:p>
        </w:tc>
        <w:tc>
          <w:tcPr>
            <w:tcW w:w="7460" w:type="dxa"/>
            <w:vAlign w:val="bottom"/>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2025 and 2024; 56,657,329 shares issued and outstanding at December 31, 2025 and</w:t>
            </w:r>
          </w:p>
        </w:tc>
        <w:tc>
          <w:tcPr>
            <w:tcW w:w="4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320" w:type="dxa"/>
            <w:vAlign w:val="bottom"/>
            <w:shd w:val="clear" w:color="auto" w:fill="E3E4E5"/>
          </w:tcPr>
          <w:p>
            <w:pPr>
              <w:spacing w:after="0"/>
              <w:rPr>
                <w:sz w:val="19"/>
                <w:szCs w:val="19"/>
                <w:color w:val="auto"/>
              </w:rPr>
            </w:pPr>
          </w:p>
        </w:tc>
        <w:tc>
          <w:tcPr>
            <w:tcW w:w="9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60" w:type="dxa"/>
            <w:vAlign w:val="bottom"/>
            <w:shd w:val="clear" w:color="auto" w:fill="E3E4E5"/>
          </w:tcPr>
          <w:p>
            <w:pPr>
              <w:spacing w:after="0"/>
              <w:rPr>
                <w:sz w:val="19"/>
                <w:szCs w:val="19"/>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0" w:type="dxa"/>
            <w:vAlign w:val="bottom"/>
          </w:tcPr>
          <w:p>
            <w:pPr>
              <w:spacing w:after="0"/>
              <w:rPr>
                <w:sz w:val="1"/>
                <w:szCs w:val="1"/>
                <w:color w:val="auto"/>
              </w:rPr>
            </w:pPr>
          </w:p>
        </w:tc>
      </w:tr>
      <w:tr>
        <w:trPr>
          <w:trHeight w:val="302"/>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55,594,131 shares issued and outstanding at December 31, 2024</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vMerge w:val="continue"/>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60" w:type="dxa"/>
            <w:vAlign w:val="bottom"/>
            <w:tcBorders>
              <w:bottom w:val="single" w:sz="8" w:color="E3E4E5"/>
            </w:tcBorders>
            <w:shd w:val="clear" w:color="auto" w:fill="E3E4E5"/>
          </w:tcPr>
          <w:p>
            <w:pPr>
              <w:spacing w:after="0"/>
              <w:rPr>
                <w:sz w:val="24"/>
                <w:szCs w:val="24"/>
                <w:color w:val="auto"/>
              </w:rPr>
            </w:pPr>
          </w:p>
        </w:tc>
        <w:tc>
          <w:tcPr>
            <w:tcW w:w="840" w:type="dxa"/>
            <w:vAlign w:val="bottom"/>
            <w:tcBorders>
              <w:bottom w:val="single" w:sz="8" w:color="E3E4E5"/>
            </w:tcBorders>
            <w:vMerge w:val="continue"/>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75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Additional paid-in capital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523,937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512,515</w:t>
            </w:r>
          </w:p>
        </w:tc>
        <w:tc>
          <w:tcPr>
            <w:tcW w:w="0" w:type="dxa"/>
            <w:vAlign w:val="bottom"/>
          </w:tcPr>
          <w:p>
            <w:pPr>
              <w:spacing w:after="0"/>
              <w:rPr>
                <w:sz w:val="1"/>
                <w:szCs w:val="1"/>
                <w:color w:val="auto"/>
              </w:rPr>
            </w:pPr>
          </w:p>
        </w:tc>
      </w:tr>
      <w:tr>
        <w:trPr>
          <w:trHeight w:val="273"/>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Accumulated other comprehensive gain</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46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135</w:t>
            </w:r>
          </w:p>
        </w:tc>
        <w:tc>
          <w:tcPr>
            <w:tcW w:w="0" w:type="dxa"/>
            <w:vAlign w:val="bottom"/>
          </w:tcPr>
          <w:p>
            <w:pPr>
              <w:spacing w:after="0"/>
              <w:rPr>
                <w:sz w:val="1"/>
                <w:szCs w:val="1"/>
                <w:color w:val="auto"/>
              </w:rPr>
            </w:pPr>
          </w:p>
        </w:tc>
      </w:tr>
      <w:tr>
        <w:trPr>
          <w:trHeight w:val="285"/>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Accumulated deficit</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(632,467)</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(558,184)</w:t>
            </w:r>
          </w:p>
        </w:tc>
        <w:tc>
          <w:tcPr>
            <w:tcW w:w="0" w:type="dxa"/>
            <w:vAlign w:val="bottom"/>
          </w:tcPr>
          <w:p>
            <w:pPr>
              <w:spacing w:after="0"/>
              <w:rPr>
                <w:sz w:val="1"/>
                <w:szCs w:val="1"/>
                <w:color w:val="auto"/>
              </w:rPr>
            </w:pPr>
          </w:p>
        </w:tc>
      </w:tr>
      <w:tr>
        <w:trPr>
          <w:trHeight w:val="264"/>
        </w:trPr>
        <w:tc>
          <w:tcPr>
            <w:tcW w:w="40" w:type="dxa"/>
            <w:vAlign w:val="bottom"/>
            <w:shd w:val="clear" w:color="auto" w:fill="E3E4E5"/>
          </w:tcPr>
          <w:p>
            <w:pPr>
              <w:spacing w:after="0"/>
              <w:rPr>
                <w:sz w:val="22"/>
                <w:szCs w:val="22"/>
                <w:color w:val="auto"/>
              </w:rPr>
            </w:pPr>
          </w:p>
        </w:tc>
        <w:tc>
          <w:tcPr>
            <w:tcW w:w="7460" w:type="dxa"/>
            <w:vAlign w:val="bottom"/>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Total stockholders’ deficit</w:t>
            </w:r>
          </w:p>
        </w:tc>
        <w:tc>
          <w:tcPr>
            <w:tcW w:w="4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320" w:type="dxa"/>
            <w:vAlign w:val="bottom"/>
            <w:tcBorders>
              <w:bottom w:val="single" w:sz="8" w:color="231F20"/>
            </w:tcBorders>
            <w:shd w:val="clear" w:color="auto" w:fill="E3E4E5"/>
          </w:tcPr>
          <w:p>
            <w:pPr>
              <w:spacing w:after="0"/>
              <w:rPr>
                <w:sz w:val="22"/>
                <w:szCs w:val="22"/>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(108,500)</w:t>
            </w:r>
          </w:p>
        </w:tc>
        <w:tc>
          <w:tcPr>
            <w:tcW w:w="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460" w:type="dxa"/>
            <w:vAlign w:val="bottom"/>
            <w:tcBorders>
              <w:bottom w:val="single" w:sz="8" w:color="231F20"/>
            </w:tcBorders>
            <w:shd w:val="clear" w:color="auto" w:fill="E3E4E5"/>
          </w:tcPr>
          <w:p>
            <w:pPr>
              <w:spacing w:after="0"/>
              <w:rPr>
                <w:sz w:val="22"/>
                <w:szCs w:val="22"/>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(45,528)</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752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454546"/>
              </w:rPr>
              <w:t>Total liabilities and stockholders’ deficit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198,103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283,982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The accompanying notes are an integral part of these consolidated financial statements.</w:t>
      </w:r>
    </w:p>
    <w:p>
      <w:pPr>
        <w:sectPr>
          <w:pgSz w:w="11880" w:h="15480" w:orient="portrait"/>
          <w:cols w:equalWidth="0" w:num="1">
            <w:col w:w="10240"/>
          </w:cols>
          <w:pgMar w:left="820" w:top="50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76</w:t>
      </w:r>
    </w:p>
    <w:p>
      <w:pPr>
        <w:sectPr>
          <w:pgSz w:w="11880" w:h="15480" w:orient="portrait"/>
          <w:cols w:equalWidth="0" w:num="1">
            <w:col w:w="10240"/>
          </w:cols>
          <w:pgMar w:left="820" w:top="500" w:right="820" w:bottom="0" w:gutter="0" w:footer="0" w:header="0"/>
          <w:type w:val="continuous"/>
        </w:sectPr>
      </w:pPr>
    </w:p>
    <w:bookmarkStart w:id="78" w:name="page79"/>
    <w:bookmarkEnd w:id="78"/>
    <w:p>
      <w:pPr>
        <w:jc w:val="center"/>
        <w:ind w:right="-119"/>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454546"/>
        </w:rPr>
        <w:t>Consolidated Statements of Operations and Comprehensive Loss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454546"/>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2440" w:type="dxa"/>
            <w:vAlign w:val="bottom"/>
            <w:tcBorders>
              <w:bottom w:val="single" w:sz="8" w:color="231F20"/>
            </w:tcBorders>
            <w:gridSpan w:val="6"/>
          </w:tcPr>
          <w:p>
            <w:pPr>
              <w:jc w:val="right"/>
              <w:ind w:right="361"/>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0" w:type="dxa"/>
            <w:vAlign w:val="bottom"/>
          </w:tcPr>
          <w:p>
            <w:pPr>
              <w:spacing w:after="0"/>
              <w:rPr>
                <w:sz w:val="1"/>
                <w:szCs w:val="1"/>
                <w:color w:val="auto"/>
              </w:rPr>
            </w:pPr>
          </w:p>
        </w:tc>
      </w:tr>
      <w:tr>
        <w:trPr>
          <w:trHeight w:val="234"/>
        </w:trPr>
        <w:tc>
          <w:tcPr>
            <w:tcW w:w="60" w:type="dxa"/>
            <w:vAlign w:val="bottom"/>
            <w:tcBorders>
              <w:bottom w:val="single" w:sz="8" w:color="E3E4E5"/>
            </w:tcBorders>
          </w:tcPr>
          <w:p>
            <w:pPr>
              <w:spacing w:after="0"/>
              <w:rPr>
                <w:sz w:val="20"/>
                <w:szCs w:val="20"/>
                <w:color w:val="auto"/>
              </w:rPr>
            </w:pPr>
          </w:p>
        </w:tc>
        <w:tc>
          <w:tcPr>
            <w:tcW w:w="7440" w:type="dxa"/>
            <w:vAlign w:val="bottom"/>
            <w:tcBorders>
              <w:bottom w:val="single" w:sz="8" w:color="E3E4E5"/>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0" w:type="dxa"/>
            <w:vAlign w:val="bottom"/>
            <w:tcBorders>
              <w:bottom w:val="single" w:sz="8" w:color="231F20"/>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0" w:type="dxa"/>
            <w:vAlign w:val="bottom"/>
          </w:tcPr>
          <w:p>
            <w:pPr>
              <w:spacing w:after="0"/>
              <w:rPr>
                <w:sz w:val="1"/>
                <w:szCs w:val="1"/>
                <w:color w:val="auto"/>
              </w:rPr>
            </w:pPr>
          </w:p>
        </w:tc>
      </w:tr>
      <w:tr>
        <w:trPr>
          <w:trHeight w:val="301"/>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Collaboration revenue</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30,909</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22,602</w:t>
            </w:r>
          </w:p>
        </w:tc>
        <w:tc>
          <w:tcPr>
            <w:tcW w:w="0" w:type="dxa"/>
            <w:vAlign w:val="bottom"/>
          </w:tcPr>
          <w:p>
            <w:pPr>
              <w:spacing w:after="0"/>
              <w:rPr>
                <w:sz w:val="1"/>
                <w:szCs w:val="1"/>
                <w:color w:val="auto"/>
              </w:rPr>
            </w:pPr>
          </w:p>
        </w:tc>
      </w:tr>
      <w:tr>
        <w:trPr>
          <w:trHeight w:val="236"/>
        </w:trPr>
        <w:tc>
          <w:tcPr>
            <w:tcW w:w="60" w:type="dxa"/>
            <w:vAlign w:val="bottom"/>
            <w:tcBorders>
              <w:top w:val="single" w:sz="8" w:color="E3E4E5"/>
            </w:tcBorders>
          </w:tcPr>
          <w:p>
            <w:pPr>
              <w:spacing w:after="0"/>
              <w:rPr>
                <w:sz w:val="20"/>
                <w:szCs w:val="20"/>
                <w:color w:val="auto"/>
              </w:rPr>
            </w:pPr>
          </w:p>
        </w:tc>
        <w:tc>
          <w:tcPr>
            <w:tcW w:w="7500" w:type="dxa"/>
            <w:vAlign w:val="bottom"/>
            <w:tcBorders>
              <w:top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Operating expenses:</w:t>
            </w:r>
          </w:p>
        </w:tc>
        <w:tc>
          <w:tcPr>
            <w:tcW w:w="240" w:type="dxa"/>
            <w:vAlign w:val="bottom"/>
            <w:tcBorders>
              <w:top w:val="single" w:sz="8" w:color="231F20"/>
            </w:tcBorders>
          </w:tcPr>
          <w:p>
            <w:pPr>
              <w:spacing w:after="0"/>
              <w:rPr>
                <w:sz w:val="20"/>
                <w:szCs w:val="20"/>
                <w:color w:val="auto"/>
              </w:rPr>
            </w:pPr>
          </w:p>
        </w:tc>
        <w:tc>
          <w:tcPr>
            <w:tcW w:w="1060" w:type="dxa"/>
            <w:vAlign w:val="bottom"/>
            <w:tcBorders>
              <w:top w:val="single" w:sz="8" w:color="231F20"/>
            </w:tcBorders>
          </w:tcPr>
          <w:p>
            <w:pPr>
              <w:spacing w:after="0"/>
              <w:rPr>
                <w:sz w:val="20"/>
                <w:szCs w:val="20"/>
                <w:color w:val="auto"/>
              </w:rPr>
            </w:pPr>
          </w:p>
        </w:tc>
        <w:tc>
          <w:tcPr>
            <w:tcW w:w="20" w:type="dxa"/>
            <w:vAlign w:val="bottom"/>
            <w:tcBorders>
              <w:top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231F20"/>
            </w:tcBorders>
          </w:tcPr>
          <w:p>
            <w:pPr>
              <w:spacing w:after="0"/>
              <w:rPr>
                <w:sz w:val="20"/>
                <w:szCs w:val="20"/>
                <w:color w:val="auto"/>
              </w:rPr>
            </w:pPr>
          </w:p>
        </w:tc>
        <w:tc>
          <w:tcPr>
            <w:tcW w:w="1060" w:type="dxa"/>
            <w:vAlign w:val="bottom"/>
            <w:tcBorders>
              <w:top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85,466</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94,528</w:t>
            </w: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General and administrative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27,550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28,359</w:t>
            </w:r>
          </w:p>
        </w:tc>
        <w:tc>
          <w:tcPr>
            <w:tcW w:w="0" w:type="dxa"/>
            <w:vAlign w:val="bottom"/>
          </w:tcPr>
          <w:p>
            <w:pPr>
              <w:spacing w:after="0"/>
              <w:rPr>
                <w:sz w:val="1"/>
                <w:szCs w:val="1"/>
                <w:color w:val="auto"/>
              </w:rPr>
            </w:pPr>
          </w:p>
        </w:tc>
      </w:tr>
      <w:tr>
        <w:trPr>
          <w:trHeight w:val="287"/>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Gain on lease modification</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(1,632)</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99"/>
        </w:trPr>
        <w:tc>
          <w:tcPr>
            <w:tcW w:w="60" w:type="dxa"/>
            <w:vAlign w:val="bottom"/>
            <w:tcBorders>
              <w:bottom w:val="single" w:sz="8" w:color="E3E4E5"/>
            </w:tcBorders>
          </w:tcPr>
          <w:p>
            <w:pPr>
              <w:spacing w:after="0"/>
              <w:rPr>
                <w:sz w:val="24"/>
                <w:szCs w:val="24"/>
                <w:color w:val="auto"/>
              </w:rPr>
            </w:pPr>
          </w:p>
        </w:tc>
        <w:tc>
          <w:tcPr>
            <w:tcW w:w="750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Impairment of long-lived assets</w:t>
            </w:r>
          </w:p>
        </w:tc>
        <w:tc>
          <w:tcPr>
            <w:tcW w:w="2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5,914</w:t>
            </w: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2,398</w:t>
            </w:r>
          </w:p>
        </w:tc>
        <w:tc>
          <w:tcPr>
            <w:tcW w:w="0" w:type="dxa"/>
            <w:vAlign w:val="bottom"/>
          </w:tcPr>
          <w:p>
            <w:pPr>
              <w:spacing w:after="0"/>
              <w:rPr>
                <w:sz w:val="1"/>
                <w:szCs w:val="1"/>
                <w:color w:val="auto"/>
              </w:rPr>
            </w:pPr>
          </w:p>
        </w:tc>
      </w:tr>
      <w:tr>
        <w:trPr>
          <w:trHeight w:val="301"/>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Total operating expenses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117,298</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125,285</w:t>
            </w:r>
          </w:p>
        </w:tc>
        <w:tc>
          <w:tcPr>
            <w:tcW w:w="0" w:type="dxa"/>
            <w:vAlign w:val="bottom"/>
          </w:tcPr>
          <w:p>
            <w:pPr>
              <w:spacing w:after="0"/>
              <w:rPr>
                <w:sz w:val="1"/>
                <w:szCs w:val="1"/>
                <w:color w:val="auto"/>
              </w:rPr>
            </w:pPr>
          </w:p>
        </w:tc>
      </w:tr>
      <w:tr>
        <w:trPr>
          <w:trHeight w:val="253"/>
        </w:trPr>
        <w:tc>
          <w:tcPr>
            <w:tcW w:w="60" w:type="dxa"/>
            <w:vAlign w:val="bottom"/>
            <w:tcBorders>
              <w:top w:val="single" w:sz="8" w:color="E3E4E5"/>
            </w:tcBorders>
          </w:tcPr>
          <w:p>
            <w:pPr>
              <w:spacing w:after="0"/>
              <w:rPr>
                <w:sz w:val="21"/>
                <w:szCs w:val="21"/>
                <w:color w:val="auto"/>
              </w:rPr>
            </w:pPr>
          </w:p>
        </w:tc>
        <w:tc>
          <w:tcPr>
            <w:tcW w:w="7500" w:type="dxa"/>
            <w:vAlign w:val="bottom"/>
            <w:tcBorders>
              <w:top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Loss from operations</w:t>
            </w:r>
          </w:p>
        </w:tc>
        <w:tc>
          <w:tcPr>
            <w:tcW w:w="240" w:type="dxa"/>
            <w:vAlign w:val="bottom"/>
            <w:tcBorders>
              <w:top w:val="single" w:sz="8" w:color="231F20"/>
            </w:tcBorders>
          </w:tcPr>
          <w:p>
            <w:pPr>
              <w:spacing w:after="0"/>
              <w:rPr>
                <w:sz w:val="21"/>
                <w:szCs w:val="21"/>
                <w:color w:val="auto"/>
              </w:rPr>
            </w:pPr>
          </w:p>
        </w:tc>
        <w:tc>
          <w:tcPr>
            <w:tcW w:w="10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(86,389)</w:t>
            </w:r>
          </w:p>
        </w:tc>
        <w:tc>
          <w:tcPr>
            <w:tcW w:w="20" w:type="dxa"/>
            <w:vAlign w:val="bottom"/>
            <w:tcBorders>
              <w:top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231F20"/>
            </w:tcBorders>
          </w:tcPr>
          <w:p>
            <w:pPr>
              <w:spacing w:after="0"/>
              <w:rPr>
                <w:sz w:val="21"/>
                <w:szCs w:val="21"/>
                <w:color w:val="auto"/>
              </w:rPr>
            </w:pPr>
          </w:p>
        </w:tc>
        <w:tc>
          <w:tcPr>
            <w:tcW w:w="10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(102,683)</w:t>
            </w:r>
          </w:p>
        </w:tc>
        <w:tc>
          <w:tcPr>
            <w:tcW w:w="0" w:type="dxa"/>
            <w:vAlign w:val="bottom"/>
          </w:tcPr>
          <w:p>
            <w:pPr>
              <w:spacing w:after="0"/>
              <w:rPr>
                <w:sz w:val="1"/>
                <w:szCs w:val="1"/>
                <w:color w:val="auto"/>
              </w:rPr>
            </w:pPr>
          </w:p>
        </w:tc>
      </w:tr>
      <w:tr>
        <w:trPr>
          <w:trHeight w:val="287"/>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Other income, net:</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 w:type="dxa"/>
            <w:vAlign w:val="bottom"/>
          </w:tcPr>
          <w:p>
            <w:pPr>
              <w:spacing w:after="0"/>
              <w:rPr>
                <w:sz w:val="24"/>
                <w:szCs w:val="24"/>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Interest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8,745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11,900</w:t>
            </w:r>
          </w:p>
        </w:tc>
        <w:tc>
          <w:tcPr>
            <w:tcW w:w="0" w:type="dxa"/>
            <w:vAlign w:val="bottom"/>
          </w:tcPr>
          <w:p>
            <w:pPr>
              <w:spacing w:after="0"/>
              <w:rPr>
                <w:sz w:val="1"/>
                <w:szCs w:val="1"/>
                <w:color w:val="auto"/>
              </w:rPr>
            </w:pPr>
          </w:p>
        </w:tc>
      </w:tr>
      <w:tr>
        <w:trPr>
          <w:trHeight w:val="307"/>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Other income, net</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3,361</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4,163</w:t>
            </w:r>
          </w:p>
        </w:tc>
        <w:tc>
          <w:tcPr>
            <w:tcW w:w="0" w:type="dxa"/>
            <w:vAlign w:val="bottom"/>
          </w:tcPr>
          <w:p>
            <w:pPr>
              <w:spacing w:after="0"/>
              <w:rPr>
                <w:sz w:val="1"/>
                <w:szCs w:val="1"/>
                <w:color w:val="auto"/>
              </w:rPr>
            </w:pPr>
          </w:p>
        </w:tc>
      </w:tr>
      <w:tr>
        <w:trPr>
          <w:trHeight w:val="279"/>
        </w:trPr>
        <w:tc>
          <w:tcPr>
            <w:tcW w:w="60" w:type="dxa"/>
            <w:vAlign w:val="bottom"/>
            <w:tcBorders>
              <w:bottom w:val="single" w:sz="8" w:color="E3E4E5"/>
            </w:tcBorders>
          </w:tcPr>
          <w:p>
            <w:pPr>
              <w:spacing w:after="0"/>
              <w:rPr>
                <w:sz w:val="24"/>
                <w:szCs w:val="24"/>
                <w:color w:val="auto"/>
              </w:rPr>
            </w:pPr>
          </w:p>
        </w:tc>
        <w:tc>
          <w:tcPr>
            <w:tcW w:w="7500" w:type="dxa"/>
            <w:vAlign w:val="bottom"/>
            <w:tcBorders>
              <w:bottom w:val="single" w:sz="8" w:color="E3E4E5"/>
            </w:tcBorders>
            <w:gridSpan w:val="3"/>
          </w:tcPr>
          <w:p>
            <w:pPr>
              <w:ind w:left="720"/>
              <w:spacing w:after="0"/>
              <w:rPr>
                <w:sz w:val="20"/>
                <w:szCs w:val="20"/>
                <w:color w:val="auto"/>
              </w:rPr>
            </w:pPr>
            <w:r>
              <w:rPr>
                <w:rFonts w:ascii="Times New Roman" w:cs="Times New Roman" w:eastAsia="Times New Roman" w:hAnsi="Times New Roman"/>
                <w:sz w:val="20"/>
                <w:szCs w:val="20"/>
                <w:color w:val="454546"/>
              </w:rPr>
              <w:t>Total other income, net</w:t>
            </w:r>
          </w:p>
        </w:tc>
        <w:tc>
          <w:tcPr>
            <w:tcW w:w="240" w:type="dxa"/>
            <w:vAlign w:val="bottom"/>
            <w:tcBorders>
              <w:top w:val="single" w:sz="8" w:color="231F20"/>
              <w:bottom w:val="single" w:sz="8" w:color="231F20"/>
            </w:tcBorders>
          </w:tcPr>
          <w:p>
            <w:pPr>
              <w:spacing w:after="0"/>
              <w:rPr>
                <w:sz w:val="24"/>
                <w:szCs w:val="24"/>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12,106</w:t>
            </w:r>
          </w:p>
        </w:tc>
        <w:tc>
          <w:tcPr>
            <w:tcW w:w="20" w:type="dxa"/>
            <w:vAlign w:val="bottom"/>
            <w:tcBorders>
              <w:top w:val="single" w:sz="8" w:color="231F20"/>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40" w:type="dxa"/>
            <w:vAlign w:val="bottom"/>
            <w:tcBorders>
              <w:top w:val="single" w:sz="8" w:color="231F20"/>
              <w:bottom w:val="single" w:sz="8" w:color="231F20"/>
            </w:tcBorders>
          </w:tcPr>
          <w:p>
            <w:pPr>
              <w:spacing w:after="0"/>
              <w:rPr>
                <w:sz w:val="24"/>
                <w:szCs w:val="24"/>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16,063</w:t>
            </w:r>
          </w:p>
        </w:tc>
        <w:tc>
          <w:tcPr>
            <w:tcW w:w="0" w:type="dxa"/>
            <w:vAlign w:val="bottom"/>
          </w:tcPr>
          <w:p>
            <w:pPr>
              <w:spacing w:after="0"/>
              <w:rPr>
                <w:sz w:val="1"/>
                <w:szCs w:val="1"/>
                <w:color w:val="auto"/>
              </w:rPr>
            </w:pPr>
          </w:p>
        </w:tc>
      </w:tr>
      <w:tr>
        <w:trPr>
          <w:trHeight w:val="281"/>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Net loss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(74,283)</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(86,620)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454546"/>
              </w:rPr>
              <w:t>Net loss per share attributable to common stockholders—basic and diluted</w:t>
            </w: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7500" w:type="dxa"/>
            <w:vAlign w:val="bottom"/>
            <w:gridSpan w:val="3"/>
            <w:vMerge w:val="continue"/>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(1.18)</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(1.58)</w:t>
            </w: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750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Weighted average common shares outstanding—basic and diluted</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62,980,959</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54,899,432</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Comprehensive loss: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Net loss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(74,283)</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(86,620)</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Other comprehensive gain (loss):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Unrealized gains (losses) on marketable securities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(111)</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961</w:t>
            </w:r>
          </w:p>
        </w:tc>
        <w:tc>
          <w:tcPr>
            <w:tcW w:w="0" w:type="dxa"/>
            <w:vAlign w:val="bottom"/>
          </w:tcPr>
          <w:p>
            <w:pPr>
              <w:spacing w:after="0"/>
              <w:rPr>
                <w:sz w:val="1"/>
                <w:szCs w:val="1"/>
                <w:color w:val="auto"/>
              </w:rPr>
            </w:pPr>
          </w:p>
        </w:tc>
      </w:tr>
      <w:tr>
        <w:trPr>
          <w:trHeight w:val="279"/>
        </w:trPr>
        <w:tc>
          <w:tcPr>
            <w:tcW w:w="60" w:type="dxa"/>
            <w:vAlign w:val="bottom"/>
            <w:tcBorders>
              <w:bottom w:val="single" w:sz="8" w:color="E3E4E5"/>
            </w:tcBorders>
          </w:tcPr>
          <w:p>
            <w:pPr>
              <w:spacing w:after="0"/>
              <w:rPr>
                <w:sz w:val="24"/>
                <w:szCs w:val="24"/>
                <w:color w:val="auto"/>
              </w:rPr>
            </w:pPr>
          </w:p>
        </w:tc>
        <w:tc>
          <w:tcPr>
            <w:tcW w:w="7500" w:type="dxa"/>
            <w:vAlign w:val="bottom"/>
            <w:tcBorders>
              <w:bottom w:val="single" w:sz="8" w:color="E3E4E5"/>
            </w:tcBorders>
            <w:gridSpan w:val="3"/>
          </w:tcPr>
          <w:p>
            <w:pPr>
              <w:ind w:left="720"/>
              <w:spacing w:after="0"/>
              <w:rPr>
                <w:sz w:val="20"/>
                <w:szCs w:val="20"/>
                <w:color w:val="auto"/>
              </w:rPr>
            </w:pPr>
            <w:r>
              <w:rPr>
                <w:rFonts w:ascii="Times New Roman" w:cs="Times New Roman" w:eastAsia="Times New Roman" w:hAnsi="Times New Roman"/>
                <w:sz w:val="20"/>
                <w:szCs w:val="20"/>
                <w:color w:val="454546"/>
              </w:rPr>
              <w:t>Total other comprehensive gain (loss)</w:t>
            </w:r>
          </w:p>
        </w:tc>
        <w:tc>
          <w:tcPr>
            <w:tcW w:w="240" w:type="dxa"/>
            <w:vAlign w:val="bottom"/>
            <w:tcBorders>
              <w:top w:val="single" w:sz="8" w:color="231F20"/>
              <w:bottom w:val="single" w:sz="8" w:color="231F20"/>
            </w:tcBorders>
          </w:tcPr>
          <w:p>
            <w:pPr>
              <w:spacing w:after="0"/>
              <w:rPr>
                <w:sz w:val="24"/>
                <w:szCs w:val="24"/>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(111)</w:t>
            </w:r>
          </w:p>
        </w:tc>
        <w:tc>
          <w:tcPr>
            <w:tcW w:w="20" w:type="dxa"/>
            <w:vAlign w:val="bottom"/>
            <w:tcBorders>
              <w:top w:val="single" w:sz="8" w:color="231F20"/>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40" w:type="dxa"/>
            <w:vAlign w:val="bottom"/>
            <w:tcBorders>
              <w:top w:val="single" w:sz="8" w:color="231F20"/>
              <w:bottom w:val="single" w:sz="8" w:color="231F20"/>
            </w:tcBorders>
          </w:tcPr>
          <w:p>
            <w:pPr>
              <w:spacing w:after="0"/>
              <w:rPr>
                <w:sz w:val="24"/>
                <w:szCs w:val="24"/>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961</w:t>
            </w:r>
          </w:p>
        </w:tc>
        <w:tc>
          <w:tcPr>
            <w:tcW w:w="0" w:type="dxa"/>
            <w:vAlign w:val="bottom"/>
          </w:tcPr>
          <w:p>
            <w:pPr>
              <w:spacing w:after="0"/>
              <w:rPr>
                <w:sz w:val="1"/>
                <w:szCs w:val="1"/>
                <w:color w:val="auto"/>
              </w:rPr>
            </w:pPr>
          </w:p>
        </w:tc>
      </w:tr>
      <w:tr>
        <w:trPr>
          <w:trHeight w:val="282"/>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Total comprehensive loss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(74,394)</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(85,659)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-3850640</wp:posOffset>
                </wp:positionV>
                <wp:extent cx="479996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996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03.1999pt" to="377.9pt,-303.1999pt" o:allowincell="f" strokecolor="#FFFFFF" strokeweight="0.96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-2707640</wp:posOffset>
                </wp:positionV>
                <wp:extent cx="479996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996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13.1999pt" to="377.9pt,-213.1999pt" o:allowincell="f" strokecolor="#FFFFFF" strokeweight="0.96pt"/>
            </w:pict>
          </mc:Fallback>
        </mc:AlternateConten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The accompanying notes are an integral part of these consolidated financial statements.</w:t>
      </w:r>
    </w:p>
    <w:p>
      <w:pPr>
        <w:sectPr>
          <w:pgSz w:w="11880" w:h="15480" w:orient="portrait"/>
          <w:cols w:equalWidth="0" w:num="1">
            <w:col w:w="10240"/>
          </w:cols>
          <w:pgMar w:left="760" w:top="50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77</w:t>
      </w:r>
    </w:p>
    <w:p>
      <w:pPr>
        <w:sectPr>
          <w:pgSz w:w="11880" w:h="15480" w:orient="portrait"/>
          <w:cols w:equalWidth="0" w:num="1">
            <w:col w:w="10240"/>
          </w:cols>
          <w:pgMar w:left="760" w:top="500" w:right="88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Consolidated Statements of Stockholders’ Deficit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454546"/>
        </w:rPr>
        <w:t>(In thousands, except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454546"/>
              </w:rPr>
              <w:t>Additional</w:t>
            </w:r>
          </w:p>
        </w:tc>
        <w:tc>
          <w:tcPr>
            <w:tcW w:w="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454546"/>
              </w:rPr>
              <w:t>Total</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454546"/>
              </w:rPr>
              <w:t>Common Stock</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83"/>
              <w:spacing w:after="0" w:line="166" w:lineRule="exact"/>
              <w:rPr>
                <w:sz w:val="20"/>
                <w:szCs w:val="20"/>
                <w:color w:val="auto"/>
              </w:rPr>
            </w:pPr>
            <w:r>
              <w:rPr>
                <w:rFonts w:ascii="Times New Roman" w:cs="Times New Roman" w:eastAsia="Times New Roman" w:hAnsi="Times New Roman"/>
                <w:sz w:val="16"/>
                <w:szCs w:val="16"/>
                <w:b w:val="1"/>
                <w:bCs w:val="1"/>
                <w:color w:val="454546"/>
                <w:w w:val="97"/>
              </w:rPr>
              <w:t>Other</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231F20"/>
            </w:tcBorders>
            <w:gridSpan w:val="3"/>
            <w:vMerge w:val="continue"/>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454546"/>
              </w:rPr>
              <w:t>Paid-in</w:t>
            </w: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454546"/>
              </w:rPr>
              <w:t>Comprehensive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454546"/>
              </w:rPr>
              <w:t>Accumulated</w:t>
            </w:r>
          </w:p>
        </w:tc>
        <w:tc>
          <w:tcPr>
            <w:tcW w:w="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454546"/>
              </w:rPr>
              <w:t>Stockholders’</w:t>
            </w:r>
          </w:p>
        </w:tc>
        <w:tc>
          <w:tcPr>
            <w:tcW w:w="0" w:type="dxa"/>
            <w:vAlign w:val="bottom"/>
          </w:tcPr>
          <w:p>
            <w:pPr>
              <w:spacing w:after="0"/>
              <w:rPr>
                <w:sz w:val="1"/>
                <w:szCs w:val="1"/>
                <w:color w:val="auto"/>
              </w:rPr>
            </w:pPr>
          </w:p>
        </w:tc>
      </w:tr>
      <w:tr>
        <w:trPr>
          <w:trHeight w:val="220"/>
        </w:trPr>
        <w:tc>
          <w:tcPr>
            <w:tcW w:w="40" w:type="dxa"/>
            <w:vAlign w:val="bottom"/>
            <w:tcBorders>
              <w:bottom w:val="single" w:sz="8" w:color="E3E4E5"/>
            </w:tcBorders>
          </w:tcPr>
          <w:p>
            <w:pPr>
              <w:spacing w:after="0"/>
              <w:rPr>
                <w:sz w:val="19"/>
                <w:szCs w:val="19"/>
                <w:color w:val="auto"/>
              </w:rPr>
            </w:pPr>
          </w:p>
        </w:tc>
        <w:tc>
          <w:tcPr>
            <w:tcW w:w="4040" w:type="dxa"/>
            <w:vAlign w:val="bottom"/>
            <w:tcBorders>
              <w:bottom w:val="single" w:sz="8" w:color="E3E4E5"/>
            </w:tcBorders>
          </w:tcPr>
          <w:p>
            <w:pPr>
              <w:spacing w:after="0"/>
              <w:rPr>
                <w:sz w:val="19"/>
                <w:szCs w:val="19"/>
                <w:color w:val="auto"/>
              </w:rPr>
            </w:pPr>
          </w:p>
        </w:tc>
        <w:tc>
          <w:tcPr>
            <w:tcW w:w="4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114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454546"/>
              </w:rPr>
              <w:t>Shares</w:t>
            </w:r>
          </w:p>
        </w:tc>
        <w:tc>
          <w:tcPr>
            <w:tcW w:w="80" w:type="dxa"/>
            <w:vAlign w:val="bottom"/>
            <w:tcBorders>
              <w:bottom w:val="single" w:sz="8" w:color="E3E4E5"/>
            </w:tcBorders>
          </w:tcPr>
          <w:p>
            <w:pPr>
              <w:spacing w:after="0"/>
              <w:rPr>
                <w:sz w:val="19"/>
                <w:szCs w:val="19"/>
                <w:color w:val="auto"/>
              </w:rPr>
            </w:pPr>
          </w:p>
        </w:tc>
        <w:tc>
          <w:tcPr>
            <w:tcW w:w="6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454546"/>
              </w:rPr>
              <w:t>Amount</w:t>
            </w:r>
          </w:p>
        </w:tc>
        <w:tc>
          <w:tcPr>
            <w:tcW w:w="80" w:type="dxa"/>
            <w:vAlign w:val="bottom"/>
            <w:tcBorders>
              <w:bottom w:val="single" w:sz="8" w:color="E3E4E5"/>
            </w:tcBorders>
          </w:tcPr>
          <w:p>
            <w:pPr>
              <w:spacing w:after="0"/>
              <w:rPr>
                <w:sz w:val="19"/>
                <w:szCs w:val="19"/>
                <w:color w:val="auto"/>
              </w:rPr>
            </w:pPr>
          </w:p>
        </w:tc>
        <w:tc>
          <w:tcPr>
            <w:tcW w:w="90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454546"/>
              </w:rPr>
              <w:t>Capital</w:t>
            </w:r>
          </w:p>
        </w:tc>
        <w:tc>
          <w:tcPr>
            <w:tcW w:w="80" w:type="dxa"/>
            <w:vAlign w:val="bottom"/>
            <w:tcBorders>
              <w:bottom w:val="single" w:sz="8" w:color="E3E4E5"/>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454546"/>
              </w:rPr>
              <w:t>Gain (Loss)</w:t>
            </w:r>
          </w:p>
        </w:tc>
        <w:tc>
          <w:tcPr>
            <w:tcW w:w="80" w:type="dxa"/>
            <w:vAlign w:val="bottom"/>
            <w:tcBorders>
              <w:bottom w:val="single" w:sz="8" w:color="E3E4E5"/>
            </w:tcBorders>
          </w:tcPr>
          <w:p>
            <w:pPr>
              <w:spacing w:after="0"/>
              <w:rPr>
                <w:sz w:val="19"/>
                <w:szCs w:val="19"/>
                <w:color w:val="auto"/>
              </w:rPr>
            </w:pPr>
          </w:p>
        </w:tc>
        <w:tc>
          <w:tcPr>
            <w:tcW w:w="1020" w:type="dxa"/>
            <w:vAlign w:val="bottom"/>
            <w:tcBorders>
              <w:bottom w:val="single" w:sz="8" w:color="231F20"/>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454546"/>
              </w:rPr>
              <w:t>Deficit</w:t>
            </w:r>
          </w:p>
        </w:tc>
        <w:tc>
          <w:tcPr>
            <w:tcW w:w="80" w:type="dxa"/>
            <w:vAlign w:val="bottom"/>
            <w:tcBorders>
              <w:bottom w:val="single" w:sz="8" w:color="E3E4E5"/>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454546"/>
              </w:rPr>
              <w:t>Deficit</w:t>
            </w:r>
          </w:p>
        </w:tc>
        <w:tc>
          <w:tcPr>
            <w:tcW w:w="0" w:type="dxa"/>
            <w:vAlign w:val="bottom"/>
          </w:tcPr>
          <w:p>
            <w:pPr>
              <w:spacing w:after="0"/>
              <w:rPr>
                <w:sz w:val="1"/>
                <w:szCs w:val="1"/>
                <w:color w:val="auto"/>
              </w:rPr>
            </w:pPr>
          </w:p>
        </w:tc>
      </w:tr>
      <w:tr>
        <w:trPr>
          <w:trHeight w:val="266"/>
        </w:trPr>
        <w:tc>
          <w:tcPr>
            <w:tcW w:w="40" w:type="dxa"/>
            <w:vAlign w:val="bottom"/>
            <w:shd w:val="clear" w:color="auto" w:fill="E3E4E5"/>
          </w:tcPr>
          <w:p>
            <w:pPr>
              <w:spacing w:after="0"/>
              <w:rPr>
                <w:sz w:val="23"/>
                <w:szCs w:val="23"/>
                <w:color w:val="auto"/>
              </w:rPr>
            </w:pPr>
          </w:p>
        </w:tc>
        <w:tc>
          <w:tcPr>
            <w:tcW w:w="40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Balances at December 31, 2023</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42,282,040</w:t>
            </w:r>
          </w:p>
        </w:tc>
        <w:tc>
          <w:tcPr>
            <w:tcW w:w="40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20"/>
                <w:szCs w:val="20"/>
                <w:color w:val="454546"/>
              </w:rPr>
              <w:t>$</w:t>
            </w:r>
          </w:p>
        </w:tc>
        <w:tc>
          <w:tcPr>
            <w:tcW w:w="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80" w:type="dxa"/>
            <w:vAlign w:val="bottom"/>
            <w:shd w:val="clear" w:color="auto" w:fill="E3E4E5"/>
          </w:tcPr>
          <w:p>
            <w:pPr>
              <w:spacing w:after="0"/>
              <w:rPr>
                <w:sz w:val="23"/>
                <w:szCs w:val="23"/>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99"/>
              </w:rPr>
              <w:t>$ 395,196</w:t>
            </w:r>
          </w:p>
        </w:tc>
        <w:tc>
          <w:tcPr>
            <w:tcW w:w="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(826)</w:t>
            </w:r>
          </w:p>
        </w:tc>
        <w:tc>
          <w:tcPr>
            <w:tcW w:w="11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 (471,564)</w:t>
            </w:r>
          </w:p>
        </w:tc>
        <w:tc>
          <w:tcPr>
            <w:tcW w:w="30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(77,190)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gridSpan w:val="3"/>
          </w:tcPr>
          <w:p>
            <w:pPr>
              <w:spacing w:after="0" w:line="208" w:lineRule="exact"/>
              <w:rPr>
                <w:sz w:val="20"/>
                <w:szCs w:val="20"/>
                <w:color w:val="auto"/>
              </w:rPr>
            </w:pPr>
            <w:r>
              <w:rPr>
                <w:rFonts w:ascii="Times New Roman" w:cs="Times New Roman" w:eastAsia="Times New Roman" w:hAnsi="Times New Roman"/>
                <w:sz w:val="20"/>
                <w:szCs w:val="20"/>
                <w:color w:val="454546"/>
              </w:rPr>
              <w:t>Issuance of common stock and pre-funded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100" w:type="dxa"/>
            <w:vAlign w:val="bottom"/>
            <w:gridSpan w:val="3"/>
          </w:tcPr>
          <w:p>
            <w:pPr>
              <w:ind w:left="160"/>
              <w:spacing w:after="0" w:line="199" w:lineRule="exact"/>
              <w:rPr>
                <w:sz w:val="20"/>
                <w:szCs w:val="20"/>
                <w:color w:val="auto"/>
              </w:rPr>
            </w:pPr>
            <w:r>
              <w:rPr>
                <w:rFonts w:ascii="Times New Roman" w:cs="Times New Roman" w:eastAsia="Times New Roman" w:hAnsi="Times New Roman"/>
                <w:sz w:val="20"/>
                <w:szCs w:val="20"/>
                <w:color w:val="454546"/>
              </w:rPr>
              <w:t>warrants, net of underwriting discounts,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12,743,039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102,814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102,816</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454546"/>
              </w:rPr>
              <w:t>commissions, and offering costs</w:t>
            </w:r>
          </w:p>
        </w:tc>
        <w:tc>
          <w:tcPr>
            <w:tcW w:w="11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E3E4E5"/>
          </w:tcPr>
          <w:p>
            <w:pPr>
              <w:spacing w:after="0"/>
              <w:rPr>
                <w:sz w:val="19"/>
                <w:szCs w:val="19"/>
                <w:color w:val="auto"/>
              </w:rPr>
            </w:pPr>
          </w:p>
        </w:tc>
        <w:tc>
          <w:tcPr>
            <w:tcW w:w="4100" w:type="dxa"/>
            <w:vAlign w:val="bottom"/>
            <w:gridSpan w:val="3"/>
            <w:shd w:val="clear" w:color="auto" w:fill="E3E4E5"/>
          </w:tcPr>
          <w:p>
            <w:pPr>
              <w:spacing w:after="0" w:line="226" w:lineRule="exact"/>
              <w:rPr>
                <w:sz w:val="20"/>
                <w:szCs w:val="20"/>
                <w:color w:val="auto"/>
              </w:rPr>
            </w:pPr>
            <w:r>
              <w:rPr>
                <w:rFonts w:ascii="Times New Roman" w:cs="Times New Roman" w:eastAsia="Times New Roman" w:hAnsi="Times New Roman"/>
                <w:sz w:val="20"/>
                <w:szCs w:val="20"/>
                <w:color w:val="454546"/>
              </w:rPr>
              <w:t>Issuance of common stock upon exercise of stock</w:t>
            </w:r>
          </w:p>
        </w:tc>
        <w:tc>
          <w:tcPr>
            <w:tcW w:w="11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569,052</w:t>
            </w:r>
          </w:p>
        </w:tc>
        <w:tc>
          <w:tcPr>
            <w:tcW w:w="80" w:type="dxa"/>
            <w:vAlign w:val="bottom"/>
            <w:shd w:val="clear" w:color="auto" w:fill="E3E4E5"/>
          </w:tcPr>
          <w:p>
            <w:pPr>
              <w:spacing w:after="0"/>
              <w:rPr>
                <w:sz w:val="19"/>
                <w:szCs w:val="19"/>
                <w:color w:val="auto"/>
              </w:rPr>
            </w:pPr>
          </w:p>
        </w:tc>
        <w:tc>
          <w:tcPr>
            <w:tcW w:w="320" w:type="dxa"/>
            <w:vAlign w:val="bottom"/>
            <w:shd w:val="clear" w:color="auto" w:fill="E3E4E5"/>
          </w:tcPr>
          <w:p>
            <w:pPr>
              <w:spacing w:after="0"/>
              <w:rPr>
                <w:sz w:val="19"/>
                <w:szCs w:val="19"/>
                <w:color w:val="auto"/>
              </w:rPr>
            </w:pPr>
          </w:p>
        </w:tc>
        <w:tc>
          <w:tcPr>
            <w:tcW w:w="3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2,612</w:t>
            </w:r>
          </w:p>
        </w:tc>
        <w:tc>
          <w:tcPr>
            <w:tcW w:w="80" w:type="dxa"/>
            <w:vAlign w:val="bottom"/>
            <w:shd w:val="clear" w:color="auto" w:fill="E3E4E5"/>
          </w:tcPr>
          <w:p>
            <w:pPr>
              <w:spacing w:after="0"/>
              <w:rPr>
                <w:sz w:val="19"/>
                <w:szCs w:val="19"/>
                <w:color w:val="auto"/>
              </w:rPr>
            </w:pPr>
          </w:p>
        </w:tc>
        <w:tc>
          <w:tcPr>
            <w:tcW w:w="180" w:type="dxa"/>
            <w:vAlign w:val="bottom"/>
            <w:shd w:val="clear" w:color="auto" w:fill="E3E4E5"/>
          </w:tcPr>
          <w:p>
            <w:pPr>
              <w:spacing w:after="0"/>
              <w:rPr>
                <w:sz w:val="19"/>
                <w:szCs w:val="19"/>
                <w:color w:val="auto"/>
              </w:rPr>
            </w:pPr>
          </w:p>
        </w:tc>
        <w:tc>
          <w:tcPr>
            <w:tcW w:w="10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10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220" w:type="dxa"/>
            <w:vAlign w:val="bottom"/>
            <w:shd w:val="clear" w:color="auto" w:fill="E3E4E5"/>
          </w:tcPr>
          <w:p>
            <w:pPr>
              <w:spacing w:after="0"/>
              <w:rPr>
                <w:sz w:val="19"/>
                <w:szCs w:val="19"/>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2,612</w:t>
            </w:r>
          </w:p>
        </w:tc>
        <w:tc>
          <w:tcPr>
            <w:tcW w:w="0" w:type="dxa"/>
            <w:vAlign w:val="bottom"/>
          </w:tcPr>
          <w:p>
            <w:pPr>
              <w:spacing w:after="0"/>
              <w:rPr>
                <w:sz w:val="1"/>
                <w:szCs w:val="1"/>
                <w:color w:val="auto"/>
              </w:rPr>
            </w:pPr>
          </w:p>
        </w:tc>
      </w:tr>
      <w:tr>
        <w:trPr>
          <w:trHeight w:val="240"/>
        </w:trPr>
        <w:tc>
          <w:tcPr>
            <w:tcW w:w="40" w:type="dxa"/>
            <w:vAlign w:val="bottom"/>
            <w:shd w:val="clear" w:color="auto" w:fill="E3E4E5"/>
          </w:tcPr>
          <w:p>
            <w:pPr>
              <w:spacing w:after="0"/>
              <w:rPr>
                <w:sz w:val="20"/>
                <w:szCs w:val="20"/>
                <w:color w:val="auto"/>
              </w:rPr>
            </w:pPr>
          </w:p>
        </w:tc>
        <w:tc>
          <w:tcPr>
            <w:tcW w:w="4100" w:type="dxa"/>
            <w:vAlign w:val="bottom"/>
            <w:gridSpan w:val="3"/>
            <w:shd w:val="clear" w:color="auto" w:fill="E3E4E5"/>
          </w:tcPr>
          <w:p>
            <w:pPr>
              <w:ind w:left="160"/>
              <w:spacing w:after="0"/>
              <w:rPr>
                <w:sz w:val="20"/>
                <w:szCs w:val="20"/>
                <w:color w:val="auto"/>
              </w:rPr>
            </w:pPr>
            <w:r>
              <w:rPr>
                <w:rFonts w:ascii="Times New Roman" w:cs="Times New Roman" w:eastAsia="Times New Roman" w:hAnsi="Times New Roman"/>
                <w:sz w:val="20"/>
                <w:szCs w:val="20"/>
                <w:color w:val="454546"/>
              </w:rPr>
              <w:t>options and employee stock purchase plan</w:t>
            </w:r>
          </w:p>
        </w:tc>
        <w:tc>
          <w:tcPr>
            <w:tcW w:w="114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36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90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80" w:type="dxa"/>
            <w:vAlign w:val="bottom"/>
            <w:shd w:val="clear" w:color="auto" w:fill="E3E4E5"/>
          </w:tcPr>
          <w:p>
            <w:pPr>
              <w:spacing w:after="0"/>
              <w:rPr>
                <w:sz w:val="20"/>
                <w:szCs w:val="20"/>
                <w:color w:val="auto"/>
              </w:rPr>
            </w:pPr>
          </w:p>
        </w:tc>
        <w:tc>
          <w:tcPr>
            <w:tcW w:w="102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02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860" w:type="dxa"/>
            <w:vAlign w:val="bottom"/>
            <w:vMerge w:val="continue"/>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11,893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11,893</w:t>
            </w:r>
          </w:p>
        </w:tc>
        <w:tc>
          <w:tcPr>
            <w:tcW w:w="0" w:type="dxa"/>
            <w:vAlign w:val="bottom"/>
          </w:tcPr>
          <w:p>
            <w:pPr>
              <w:spacing w:after="0"/>
              <w:rPr>
                <w:sz w:val="1"/>
                <w:szCs w:val="1"/>
                <w:color w:val="auto"/>
              </w:rPr>
            </w:pPr>
          </w:p>
        </w:tc>
      </w:tr>
      <w:tr>
        <w:trPr>
          <w:trHeight w:val="290"/>
        </w:trPr>
        <w:tc>
          <w:tcPr>
            <w:tcW w:w="40" w:type="dxa"/>
            <w:vAlign w:val="bottom"/>
            <w:shd w:val="clear" w:color="auto" w:fill="E3E4E5"/>
          </w:tcPr>
          <w:p>
            <w:pPr>
              <w:spacing w:after="0"/>
              <w:rPr>
                <w:sz w:val="24"/>
                <w:szCs w:val="24"/>
                <w:color w:val="auto"/>
              </w:rPr>
            </w:pPr>
          </w:p>
        </w:tc>
        <w:tc>
          <w:tcPr>
            <w:tcW w:w="41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Unrealized gains on marketable securities</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961</w:t>
            </w:r>
          </w:p>
        </w:tc>
        <w:tc>
          <w:tcPr>
            <w:tcW w:w="8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961</w:t>
            </w:r>
          </w:p>
        </w:tc>
        <w:tc>
          <w:tcPr>
            <w:tcW w:w="0" w:type="dxa"/>
            <w:vAlign w:val="bottom"/>
          </w:tcPr>
          <w:p>
            <w:pPr>
              <w:spacing w:after="0"/>
              <w:rPr>
                <w:sz w:val="1"/>
                <w:szCs w:val="1"/>
                <w:color w:val="auto"/>
              </w:rPr>
            </w:pPr>
          </w:p>
        </w:tc>
      </w:tr>
      <w:tr>
        <w:trPr>
          <w:trHeight w:val="285"/>
        </w:trPr>
        <w:tc>
          <w:tcPr>
            <w:tcW w:w="40" w:type="dxa"/>
            <w:vAlign w:val="bottom"/>
            <w:tcBorders>
              <w:bottom w:val="single" w:sz="8" w:color="E3E4E5"/>
            </w:tcBorders>
          </w:tcPr>
          <w:p>
            <w:pPr>
              <w:spacing w:after="0"/>
              <w:rPr>
                <w:sz w:val="24"/>
                <w:szCs w:val="24"/>
                <w:color w:val="auto"/>
              </w:rPr>
            </w:pPr>
          </w:p>
        </w:tc>
        <w:tc>
          <w:tcPr>
            <w:tcW w:w="4100" w:type="dxa"/>
            <w:vAlign w:val="bottom"/>
            <w:tcBorders>
              <w:bottom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Net loss</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(86,620)</w:t>
            </w:r>
          </w:p>
        </w:tc>
        <w:tc>
          <w:tcPr>
            <w:tcW w:w="80" w:type="dxa"/>
            <w:vAlign w:val="bottom"/>
            <w:tcBorders>
              <w:bottom w:val="single" w:sz="8" w:color="E3E4E5"/>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(86,620)</w:t>
            </w:r>
          </w:p>
        </w:tc>
        <w:tc>
          <w:tcPr>
            <w:tcW w:w="0" w:type="dxa"/>
            <w:vAlign w:val="bottom"/>
          </w:tcPr>
          <w:p>
            <w:pPr>
              <w:spacing w:after="0"/>
              <w:rPr>
                <w:sz w:val="1"/>
                <w:szCs w:val="1"/>
                <w:color w:val="auto"/>
              </w:rPr>
            </w:pPr>
          </w:p>
        </w:tc>
      </w:tr>
      <w:tr>
        <w:trPr>
          <w:trHeight w:val="285"/>
        </w:trPr>
        <w:tc>
          <w:tcPr>
            <w:tcW w:w="40" w:type="dxa"/>
            <w:vAlign w:val="bottom"/>
            <w:shd w:val="clear" w:color="auto" w:fill="E3E4E5"/>
          </w:tcPr>
          <w:p>
            <w:pPr>
              <w:spacing w:after="0"/>
              <w:rPr>
                <w:sz w:val="24"/>
                <w:szCs w:val="24"/>
                <w:color w:val="auto"/>
              </w:rPr>
            </w:pPr>
          </w:p>
        </w:tc>
        <w:tc>
          <w:tcPr>
            <w:tcW w:w="40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Balances at December 31, 2024</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55,594,131</w:t>
            </w: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512,515</w:t>
            </w:r>
          </w:p>
        </w:tc>
        <w:tc>
          <w:tcPr>
            <w:tcW w:w="8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135</w:t>
            </w:r>
          </w:p>
        </w:tc>
        <w:tc>
          <w:tcPr>
            <w:tcW w:w="11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(558,184)</w:t>
            </w:r>
          </w:p>
        </w:tc>
        <w:tc>
          <w:tcPr>
            <w:tcW w:w="8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(45,528)</w:t>
            </w:r>
          </w:p>
        </w:tc>
        <w:tc>
          <w:tcPr>
            <w:tcW w:w="0" w:type="dxa"/>
            <w:vAlign w:val="bottom"/>
          </w:tcPr>
          <w:p>
            <w:pPr>
              <w:spacing w:after="0"/>
              <w:rPr>
                <w:sz w:val="1"/>
                <w:szCs w:val="1"/>
                <w:color w:val="auto"/>
              </w:rPr>
            </w:pPr>
          </w:p>
        </w:tc>
      </w:tr>
      <w:tr>
        <w:trPr>
          <w:trHeight w:val="20"/>
        </w:trPr>
        <w:tc>
          <w:tcPr>
            <w:tcW w:w="40" w:type="dxa"/>
            <w:vAlign w:val="bottom"/>
            <w:tcBorders>
              <w:top w:val="single" w:sz="8" w:color="E3E4E5"/>
            </w:tcBorders>
          </w:tcPr>
          <w:p>
            <w:pPr>
              <w:spacing w:after="0" w:line="20" w:lineRule="exact"/>
              <w:rPr>
                <w:sz w:val="1"/>
                <w:szCs w:val="1"/>
                <w:color w:val="auto"/>
              </w:rPr>
            </w:pPr>
          </w:p>
        </w:tc>
        <w:tc>
          <w:tcPr>
            <w:tcW w:w="4100" w:type="dxa"/>
            <w:vAlign w:val="bottom"/>
            <w:tcBorders>
              <w:top w:val="single" w:sz="8" w:color="E3E4E5"/>
              <w:bottom w:val="single" w:sz="8" w:color="E3E4E5"/>
            </w:tcBorders>
            <w:gridSpan w:val="3"/>
            <w:vMerge w:val="restart"/>
          </w:tcPr>
          <w:p>
            <w:pPr>
              <w:spacing w:after="0" w:line="177" w:lineRule="exact"/>
              <w:rPr>
                <w:sz w:val="20"/>
                <w:szCs w:val="20"/>
                <w:color w:val="auto"/>
              </w:rPr>
            </w:pPr>
            <w:r>
              <w:rPr>
                <w:rFonts w:ascii="Times New Roman" w:cs="Times New Roman" w:eastAsia="Times New Roman" w:hAnsi="Times New Roman"/>
                <w:sz w:val="20"/>
                <w:szCs w:val="20"/>
                <w:color w:val="454546"/>
              </w:rPr>
              <w:t>Issuance of common stock upon exercise of stock</w:t>
            </w: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4100" w:type="dxa"/>
            <w:vAlign w:val="bottom"/>
            <w:gridSpan w:val="3"/>
            <w:vMerge w:val="continue"/>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236,075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483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483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454546"/>
              </w:rPr>
              <w:t>options and employee stock purchase plan</w:t>
            </w: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E3E4E5"/>
          </w:tcPr>
          <w:p>
            <w:pPr>
              <w:spacing w:after="0"/>
              <w:rPr>
                <w:sz w:val="19"/>
                <w:szCs w:val="19"/>
                <w:color w:val="auto"/>
              </w:rPr>
            </w:pPr>
          </w:p>
        </w:tc>
        <w:tc>
          <w:tcPr>
            <w:tcW w:w="4100" w:type="dxa"/>
            <w:vAlign w:val="bottom"/>
            <w:gridSpan w:val="3"/>
            <w:shd w:val="clear" w:color="auto" w:fill="E3E4E5"/>
          </w:tcPr>
          <w:p>
            <w:pPr>
              <w:spacing w:after="0" w:line="223" w:lineRule="exact"/>
              <w:rPr>
                <w:sz w:val="20"/>
                <w:szCs w:val="20"/>
                <w:color w:val="auto"/>
              </w:rPr>
            </w:pPr>
            <w:r>
              <w:rPr>
                <w:rFonts w:ascii="Times New Roman" w:cs="Times New Roman" w:eastAsia="Times New Roman" w:hAnsi="Times New Roman"/>
                <w:sz w:val="20"/>
                <w:szCs w:val="20"/>
                <w:color w:val="454546"/>
              </w:rPr>
              <w:t>Issuance of common stock upon exercise of</w:t>
            </w:r>
          </w:p>
        </w:tc>
        <w:tc>
          <w:tcPr>
            <w:tcW w:w="11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725,949</w:t>
            </w:r>
          </w:p>
        </w:tc>
        <w:tc>
          <w:tcPr>
            <w:tcW w:w="80" w:type="dxa"/>
            <w:vAlign w:val="bottom"/>
            <w:shd w:val="clear" w:color="auto" w:fill="E3E4E5"/>
          </w:tcPr>
          <w:p>
            <w:pPr>
              <w:spacing w:after="0"/>
              <w:rPr>
                <w:sz w:val="19"/>
                <w:szCs w:val="19"/>
                <w:color w:val="auto"/>
              </w:rPr>
            </w:pPr>
          </w:p>
        </w:tc>
        <w:tc>
          <w:tcPr>
            <w:tcW w:w="320" w:type="dxa"/>
            <w:vAlign w:val="bottom"/>
            <w:shd w:val="clear" w:color="auto" w:fill="E3E4E5"/>
          </w:tcPr>
          <w:p>
            <w:pPr>
              <w:spacing w:after="0"/>
              <w:rPr>
                <w:sz w:val="19"/>
                <w:szCs w:val="19"/>
                <w:color w:val="auto"/>
              </w:rPr>
            </w:pPr>
          </w:p>
        </w:tc>
        <w:tc>
          <w:tcPr>
            <w:tcW w:w="3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9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180" w:type="dxa"/>
            <w:vAlign w:val="bottom"/>
            <w:shd w:val="clear" w:color="auto" w:fill="E3E4E5"/>
          </w:tcPr>
          <w:p>
            <w:pPr>
              <w:spacing w:after="0"/>
              <w:rPr>
                <w:sz w:val="19"/>
                <w:szCs w:val="19"/>
                <w:color w:val="auto"/>
              </w:rPr>
            </w:pPr>
          </w:p>
        </w:tc>
        <w:tc>
          <w:tcPr>
            <w:tcW w:w="10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10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19"/>
                <w:szCs w:val="19"/>
                <w:color w:val="auto"/>
              </w:rPr>
            </w:pPr>
          </w:p>
        </w:tc>
        <w:tc>
          <w:tcPr>
            <w:tcW w:w="220" w:type="dxa"/>
            <w:vAlign w:val="bottom"/>
            <w:shd w:val="clear" w:color="auto" w:fill="E3E4E5"/>
          </w:tcPr>
          <w:p>
            <w:pPr>
              <w:spacing w:after="0"/>
              <w:rPr>
                <w:sz w:val="19"/>
                <w:szCs w:val="19"/>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0" w:type="dxa"/>
            <w:vAlign w:val="bottom"/>
          </w:tcPr>
          <w:p>
            <w:pPr>
              <w:spacing w:after="0"/>
              <w:rPr>
                <w:sz w:val="1"/>
                <w:szCs w:val="1"/>
                <w:color w:val="auto"/>
              </w:rPr>
            </w:pPr>
          </w:p>
        </w:tc>
      </w:tr>
      <w:tr>
        <w:trPr>
          <w:trHeight w:val="240"/>
        </w:trPr>
        <w:tc>
          <w:tcPr>
            <w:tcW w:w="40" w:type="dxa"/>
            <w:vAlign w:val="bottom"/>
            <w:shd w:val="clear" w:color="auto" w:fill="E3E4E5"/>
          </w:tcPr>
          <w:p>
            <w:pPr>
              <w:spacing w:after="0"/>
              <w:rPr>
                <w:sz w:val="20"/>
                <w:szCs w:val="20"/>
                <w:color w:val="auto"/>
              </w:rPr>
            </w:pPr>
          </w:p>
        </w:tc>
        <w:tc>
          <w:tcPr>
            <w:tcW w:w="4100" w:type="dxa"/>
            <w:vAlign w:val="bottom"/>
            <w:gridSpan w:val="3"/>
            <w:shd w:val="clear" w:color="auto" w:fill="E3E4E5"/>
          </w:tcPr>
          <w:p>
            <w:pPr>
              <w:ind w:left="160"/>
              <w:spacing w:after="0"/>
              <w:rPr>
                <w:sz w:val="20"/>
                <w:szCs w:val="20"/>
                <w:color w:val="auto"/>
              </w:rPr>
            </w:pPr>
            <w:r>
              <w:rPr>
                <w:rFonts w:ascii="Times New Roman" w:cs="Times New Roman" w:eastAsia="Times New Roman" w:hAnsi="Times New Roman"/>
                <w:sz w:val="20"/>
                <w:szCs w:val="20"/>
                <w:color w:val="454546"/>
              </w:rPr>
              <w:t>pre-funded warrants</w:t>
            </w:r>
          </w:p>
        </w:tc>
        <w:tc>
          <w:tcPr>
            <w:tcW w:w="114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36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90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80" w:type="dxa"/>
            <w:vAlign w:val="bottom"/>
            <w:shd w:val="clear" w:color="auto" w:fill="E3E4E5"/>
          </w:tcPr>
          <w:p>
            <w:pPr>
              <w:spacing w:after="0"/>
              <w:rPr>
                <w:sz w:val="20"/>
                <w:szCs w:val="20"/>
                <w:color w:val="auto"/>
              </w:rPr>
            </w:pPr>
          </w:p>
        </w:tc>
        <w:tc>
          <w:tcPr>
            <w:tcW w:w="102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020" w:type="dxa"/>
            <w:vAlign w:val="bottom"/>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860" w:type="dxa"/>
            <w:vAlign w:val="bottom"/>
            <w:vMerge w:val="continue"/>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top w:val="single" w:sz="8" w:color="E3E4E5"/>
            </w:tcBorders>
          </w:tcPr>
          <w:p>
            <w:pPr>
              <w:spacing w:after="0"/>
              <w:rPr>
                <w:sz w:val="16"/>
                <w:szCs w:val="16"/>
                <w:color w:val="auto"/>
              </w:rPr>
            </w:pPr>
          </w:p>
        </w:tc>
        <w:tc>
          <w:tcPr>
            <w:tcW w:w="4040" w:type="dxa"/>
            <w:vAlign w:val="bottom"/>
          </w:tcPr>
          <w:p>
            <w:pPr>
              <w:spacing w:after="0" w:line="189" w:lineRule="exact"/>
              <w:rPr>
                <w:sz w:val="20"/>
                <w:szCs w:val="20"/>
                <w:color w:val="auto"/>
              </w:rPr>
            </w:pPr>
            <w:r>
              <w:rPr>
                <w:rFonts w:ascii="Times New Roman" w:cs="Times New Roman" w:eastAsia="Times New Roman" w:hAnsi="Times New Roman"/>
                <w:sz w:val="20"/>
                <w:szCs w:val="20"/>
                <w:color w:val="454546"/>
              </w:rPr>
              <w:t>Issuance of common stock under the ATM</w:t>
            </w:r>
          </w:p>
        </w:tc>
        <w:tc>
          <w:tcPr>
            <w:tcW w:w="40" w:type="dxa"/>
            <w:vAlign w:val="bottom"/>
            <w:tcBorders>
              <w:top w:val="single" w:sz="8" w:color="E3E4E5"/>
            </w:tcBorders>
          </w:tcPr>
          <w:p>
            <w:pPr>
              <w:spacing w:after="0"/>
              <w:rPr>
                <w:sz w:val="16"/>
                <w:szCs w:val="16"/>
                <w:color w:val="auto"/>
              </w:rPr>
            </w:pPr>
          </w:p>
        </w:tc>
        <w:tc>
          <w:tcPr>
            <w:tcW w:w="20" w:type="dxa"/>
            <w:vAlign w:val="bottom"/>
            <w:tcBorders>
              <w:top w:val="single" w:sz="8" w:color="E3E4E5"/>
            </w:tcBorders>
          </w:tcPr>
          <w:p>
            <w:pPr>
              <w:spacing w:after="0"/>
              <w:rPr>
                <w:sz w:val="16"/>
                <w:szCs w:val="16"/>
                <w:color w:val="auto"/>
              </w:rPr>
            </w:pPr>
          </w:p>
        </w:tc>
        <w:tc>
          <w:tcPr>
            <w:tcW w:w="1140" w:type="dxa"/>
            <w:vAlign w:val="bottom"/>
            <w:tcBorders>
              <w:top w:val="single" w:sz="8" w:color="E3E4E5"/>
            </w:tcBorders>
            <w:vMerge w:val="restart"/>
          </w:tcPr>
          <w:p>
            <w:pPr>
              <w:jc w:val="right"/>
              <w:spacing w:after="0"/>
              <w:rPr>
                <w:sz w:val="20"/>
                <w:szCs w:val="20"/>
                <w:color w:val="auto"/>
              </w:rPr>
            </w:pPr>
            <w:r>
              <w:rPr>
                <w:rFonts w:ascii="Times New Roman" w:cs="Times New Roman" w:eastAsia="Times New Roman" w:hAnsi="Times New Roman"/>
                <w:sz w:val="20"/>
                <w:szCs w:val="20"/>
                <w:color w:val="454546"/>
              </w:rPr>
              <w:t>101,174</w:t>
            </w:r>
          </w:p>
        </w:tc>
        <w:tc>
          <w:tcPr>
            <w:tcW w:w="80" w:type="dxa"/>
            <w:vAlign w:val="bottom"/>
            <w:tcBorders>
              <w:top w:val="single" w:sz="8" w:color="E3E4E5"/>
            </w:tcBorders>
          </w:tcPr>
          <w:p>
            <w:pPr>
              <w:spacing w:after="0"/>
              <w:rPr>
                <w:sz w:val="16"/>
                <w:szCs w:val="16"/>
                <w:color w:val="auto"/>
              </w:rPr>
            </w:pPr>
          </w:p>
        </w:tc>
        <w:tc>
          <w:tcPr>
            <w:tcW w:w="320" w:type="dxa"/>
            <w:vAlign w:val="bottom"/>
            <w:tcBorders>
              <w:top w:val="single" w:sz="8" w:color="E3E4E5"/>
            </w:tcBorders>
          </w:tcPr>
          <w:p>
            <w:pPr>
              <w:spacing w:after="0"/>
              <w:rPr>
                <w:sz w:val="16"/>
                <w:szCs w:val="16"/>
                <w:color w:val="auto"/>
              </w:rPr>
            </w:pPr>
          </w:p>
        </w:tc>
        <w:tc>
          <w:tcPr>
            <w:tcW w:w="360" w:type="dxa"/>
            <w:vAlign w:val="bottom"/>
            <w:tcBorders>
              <w:top w:val="single" w:sz="8" w:color="E3E4E5"/>
            </w:tcBorders>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top w:val="single" w:sz="8" w:color="E3E4E5"/>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540</w:t>
            </w:r>
          </w:p>
        </w:tc>
        <w:tc>
          <w:tcPr>
            <w:tcW w:w="80" w:type="dxa"/>
            <w:vAlign w:val="bottom"/>
            <w:tcBorders>
              <w:top w:val="single" w:sz="8" w:color="E3E4E5"/>
            </w:tcBorders>
          </w:tcPr>
          <w:p>
            <w:pPr>
              <w:spacing w:after="0"/>
              <w:rPr>
                <w:sz w:val="16"/>
                <w:szCs w:val="16"/>
                <w:color w:val="auto"/>
              </w:rPr>
            </w:pPr>
          </w:p>
        </w:tc>
        <w:tc>
          <w:tcPr>
            <w:tcW w:w="180" w:type="dxa"/>
            <w:vAlign w:val="bottom"/>
            <w:tcBorders>
              <w:top w:val="single" w:sz="8" w:color="E3E4E5"/>
            </w:tcBorders>
          </w:tcPr>
          <w:p>
            <w:pPr>
              <w:spacing w:after="0"/>
              <w:rPr>
                <w:sz w:val="16"/>
                <w:szCs w:val="16"/>
                <w:color w:val="auto"/>
              </w:rPr>
            </w:pPr>
          </w:p>
        </w:tc>
        <w:tc>
          <w:tcPr>
            <w:tcW w:w="1020" w:type="dxa"/>
            <w:vAlign w:val="bottom"/>
            <w:tcBorders>
              <w:top w:val="single" w:sz="8" w:color="E3E4E5"/>
            </w:tcBorders>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top w:val="single" w:sz="8" w:color="E3E4E5"/>
            </w:tcBorders>
          </w:tcPr>
          <w:p>
            <w:pPr>
              <w:spacing w:after="0"/>
              <w:rPr>
                <w:sz w:val="16"/>
                <w:szCs w:val="16"/>
                <w:color w:val="auto"/>
              </w:rPr>
            </w:pPr>
          </w:p>
        </w:tc>
        <w:tc>
          <w:tcPr>
            <w:tcW w:w="1020" w:type="dxa"/>
            <w:vAlign w:val="bottom"/>
            <w:tcBorders>
              <w:top w:val="single" w:sz="8" w:color="E3E4E5"/>
            </w:tcBorders>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top w:val="single" w:sz="8" w:color="E3E4E5"/>
            </w:tcBorders>
          </w:tcPr>
          <w:p>
            <w:pPr>
              <w:spacing w:after="0"/>
              <w:rPr>
                <w:sz w:val="16"/>
                <w:szCs w:val="16"/>
                <w:color w:val="auto"/>
              </w:rPr>
            </w:pPr>
          </w:p>
        </w:tc>
        <w:tc>
          <w:tcPr>
            <w:tcW w:w="220" w:type="dxa"/>
            <w:vAlign w:val="bottom"/>
            <w:tcBorders>
              <w:top w:val="single" w:sz="8" w:color="E3E4E5"/>
            </w:tcBorders>
          </w:tcPr>
          <w:p>
            <w:pPr>
              <w:spacing w:after="0"/>
              <w:rPr>
                <w:sz w:val="16"/>
                <w:szCs w:val="16"/>
                <w:color w:val="auto"/>
              </w:rPr>
            </w:pPr>
          </w:p>
        </w:tc>
        <w:tc>
          <w:tcPr>
            <w:tcW w:w="860" w:type="dxa"/>
            <w:vAlign w:val="bottom"/>
            <w:tcBorders>
              <w:top w:val="single" w:sz="8" w:color="E3E4E5"/>
            </w:tcBorders>
            <w:vMerge w:val="restart"/>
          </w:tcPr>
          <w:p>
            <w:pPr>
              <w:jc w:val="right"/>
              <w:spacing w:after="0"/>
              <w:rPr>
                <w:sz w:val="20"/>
                <w:szCs w:val="20"/>
                <w:color w:val="auto"/>
              </w:rPr>
            </w:pPr>
            <w:r>
              <w:rPr>
                <w:rFonts w:ascii="Times New Roman" w:cs="Times New Roman" w:eastAsia="Times New Roman" w:hAnsi="Times New Roman"/>
                <w:sz w:val="20"/>
                <w:szCs w:val="20"/>
                <w:color w:val="454546"/>
              </w:rPr>
              <w:t>540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20"/>
                <w:szCs w:val="20"/>
                <w:color w:val="454546"/>
              </w:rPr>
              <w:t>Facility, net of issuance costs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 w:type="dxa"/>
            <w:vAlign w:val="bottom"/>
            <w:shd w:val="clear" w:color="auto" w:fill="E3E4E5"/>
          </w:tcPr>
          <w:p>
            <w:pPr>
              <w:spacing w:after="0"/>
              <w:rPr>
                <w:sz w:val="24"/>
                <w:szCs w:val="24"/>
                <w:color w:val="auto"/>
              </w:rPr>
            </w:pPr>
          </w:p>
        </w:tc>
        <w:tc>
          <w:tcPr>
            <w:tcW w:w="40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10,399</w:t>
            </w:r>
          </w:p>
        </w:tc>
        <w:tc>
          <w:tcPr>
            <w:tcW w:w="80" w:type="dxa"/>
            <w:vAlign w:val="bottom"/>
            <w:shd w:val="clear" w:color="auto" w:fill="E3E4E5"/>
          </w:tcPr>
          <w:p>
            <w:pPr>
              <w:spacing w:after="0"/>
              <w:rPr>
                <w:sz w:val="24"/>
                <w:szCs w:val="24"/>
                <w:color w:val="auto"/>
              </w:rPr>
            </w:pPr>
          </w:p>
        </w:tc>
        <w:tc>
          <w:tcPr>
            <w:tcW w:w="18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shd w:val="clear" w:color="auto" w:fill="E3E4E5"/>
          </w:tcPr>
          <w:p>
            <w:pPr>
              <w:spacing w:after="0"/>
              <w:rPr>
                <w:sz w:val="24"/>
                <w:szCs w:val="24"/>
                <w:color w:val="auto"/>
              </w:rPr>
            </w:pPr>
          </w:p>
        </w:tc>
        <w:tc>
          <w:tcPr>
            <w:tcW w:w="22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10,399</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Unrealized losses on marketable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(111)</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(111)</w:t>
            </w:r>
          </w:p>
        </w:tc>
        <w:tc>
          <w:tcPr>
            <w:tcW w:w="0" w:type="dxa"/>
            <w:vAlign w:val="bottom"/>
          </w:tcPr>
          <w:p>
            <w:pPr>
              <w:spacing w:after="0"/>
              <w:rPr>
                <w:sz w:val="1"/>
                <w:szCs w:val="1"/>
                <w:color w:val="auto"/>
              </w:rPr>
            </w:pPr>
          </w:p>
        </w:tc>
      </w:tr>
      <w:tr>
        <w:trPr>
          <w:trHeight w:val="290"/>
        </w:trPr>
        <w:tc>
          <w:tcPr>
            <w:tcW w:w="40" w:type="dxa"/>
            <w:vAlign w:val="bottom"/>
            <w:shd w:val="clear" w:color="auto" w:fill="E3E4E5"/>
          </w:tcPr>
          <w:p>
            <w:pPr>
              <w:spacing w:after="0"/>
              <w:rPr>
                <w:sz w:val="24"/>
                <w:szCs w:val="24"/>
                <w:color w:val="auto"/>
              </w:rPr>
            </w:pPr>
          </w:p>
        </w:tc>
        <w:tc>
          <w:tcPr>
            <w:tcW w:w="40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Net loss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231F20"/>
            </w:tcBorders>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tcBorders>
              <w:bottom w:val="single" w:sz="8" w:color="231F20"/>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(74,283)</w:t>
            </w:r>
          </w:p>
        </w:tc>
        <w:tc>
          <w:tcPr>
            <w:tcW w:w="80" w:type="dxa"/>
            <w:vAlign w:val="bottom"/>
            <w:tcBorders>
              <w:bottom w:val="single" w:sz="8" w:color="231F20"/>
            </w:tcBorders>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(74,283)</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454546"/>
              </w:rPr>
              <w:t>Balances at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56,657,329</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454546"/>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$ 523,937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 (632,467)</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454546"/>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(108,500)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2623820</wp:posOffset>
                </wp:positionH>
                <wp:positionV relativeFrom="paragraph">
                  <wp:posOffset>-1609725</wp:posOffset>
                </wp:positionV>
                <wp:extent cx="73342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6pt,-126.7499pt" to="264.35pt,-126.7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3406140</wp:posOffset>
                </wp:positionH>
                <wp:positionV relativeFrom="paragraph">
                  <wp:posOffset>-1609725</wp:posOffset>
                </wp:positionV>
                <wp:extent cx="42799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99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2pt,-126.7499pt" to="301.9pt,-126.7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3881120</wp:posOffset>
                </wp:positionH>
                <wp:positionV relativeFrom="paragraph">
                  <wp:posOffset>-1609725</wp:posOffset>
                </wp:positionV>
                <wp:extent cx="5810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6pt,-126.7499pt" to="351.35pt,-126.7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4511040</wp:posOffset>
                </wp:positionH>
                <wp:positionV relativeFrom="paragraph">
                  <wp:posOffset>-1609725</wp:posOffset>
                </wp:positionV>
                <wp:extent cx="7620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2pt,-126.7499pt" to="415.2pt,-126.7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5320030</wp:posOffset>
                </wp:positionH>
                <wp:positionV relativeFrom="paragraph">
                  <wp:posOffset>-1609725</wp:posOffset>
                </wp:positionV>
                <wp:extent cx="6477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9pt,-126.7499pt" to="469.9pt,-126.7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6014720</wp:posOffset>
                </wp:positionH>
                <wp:positionV relativeFrom="paragraph">
                  <wp:posOffset>-1609725</wp:posOffset>
                </wp:positionV>
                <wp:extent cx="69532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3.6pt,-126.7499pt" to="528.35pt,-126.7499pt" o:allowincell="f" strokecolor="#FFFFFF" strokeweight="0.12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color w:val="454546"/>
        </w:rPr>
        <w:t>The accompanying notes are an integral part of these consolidated financial statements.</w:t>
      </w:r>
    </w:p>
    <w:p>
      <w:pPr>
        <w:sectPr>
          <w:pgSz w:w="11880" w:h="15480" w:orient="portrait"/>
          <w:cols w:equalWidth="0" w:num="1">
            <w:col w:w="10560"/>
          </w:cols>
          <w:pgMar w:left="660" w:top="500"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78</w:t>
      </w:r>
    </w:p>
    <w:p>
      <w:pPr>
        <w:sectPr>
          <w:pgSz w:w="11880" w:h="15480" w:orient="portrait"/>
          <w:cols w:equalWidth="0" w:num="1">
            <w:col w:w="10560"/>
          </w:cols>
          <w:pgMar w:left="660" w:top="500" w:right="660" w:bottom="0" w:gutter="0" w:footer="0" w:header="0"/>
          <w:type w:val="continuous"/>
        </w:sectPr>
      </w:pPr>
    </w:p>
    <w:bookmarkStart w:id="80" w:name="page81"/>
    <w:bookmarkEnd w:id="80"/>
    <w:p>
      <w:pPr>
        <w:jc w:val="center"/>
        <w:ind w:right="-139"/>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454546"/>
        </w:rPr>
        <w:t>Consolidated Statements of Cash Flows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454546"/>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E3E4E5"/>
            </w:tcBorders>
          </w:tcPr>
          <w:p>
            <w:pPr>
              <w:spacing w:after="0"/>
              <w:rPr>
                <w:sz w:val="20"/>
                <w:szCs w:val="20"/>
                <w:color w:val="auto"/>
              </w:rPr>
            </w:pPr>
          </w:p>
        </w:tc>
        <w:tc>
          <w:tcPr>
            <w:tcW w:w="7440" w:type="dxa"/>
            <w:vAlign w:val="bottom"/>
            <w:tcBorders>
              <w:bottom w:val="single" w:sz="8" w:color="E3E4E5"/>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0" w:type="dxa"/>
            <w:vAlign w:val="bottom"/>
            <w:tcBorders>
              <w:bottom w:val="single" w:sz="8" w:color="231F20"/>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E3E4E5"/>
          </w:tcPr>
          <w:p>
            <w:pPr>
              <w:spacing w:after="0"/>
              <w:rPr>
                <w:sz w:val="23"/>
                <w:szCs w:val="23"/>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Cash flows from operating activities:</w:t>
            </w:r>
          </w:p>
        </w:tc>
        <w:tc>
          <w:tcPr>
            <w:tcW w:w="32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4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Net loss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(74,283)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(86,620)</w:t>
            </w:r>
          </w:p>
        </w:tc>
        <w:tc>
          <w:tcPr>
            <w:tcW w:w="0" w:type="dxa"/>
            <w:vAlign w:val="bottom"/>
          </w:tcPr>
          <w:p>
            <w:pPr>
              <w:spacing w:after="0"/>
              <w:rPr>
                <w:sz w:val="1"/>
                <w:szCs w:val="1"/>
                <w:color w:val="auto"/>
              </w:rPr>
            </w:pPr>
          </w:p>
        </w:tc>
      </w:tr>
      <w:tr>
        <w:trPr>
          <w:trHeight w:val="292"/>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Adjustments to reconcile net loss to net cash used in operating activities: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10,399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11,893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Depreciation and amortization expense</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3,332</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3,120</w:t>
            </w:r>
          </w:p>
        </w:tc>
        <w:tc>
          <w:tcPr>
            <w:tcW w:w="2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440" w:type="dxa"/>
            <w:vAlign w:val="bottom"/>
          </w:tcPr>
          <w:p>
            <w:pPr>
              <w:ind w:left="360"/>
              <w:spacing w:after="0"/>
              <w:rPr>
                <w:sz w:val="20"/>
                <w:szCs w:val="20"/>
                <w:color w:val="auto"/>
              </w:rPr>
            </w:pPr>
            <w:r>
              <w:rPr>
                <w:rFonts w:ascii="Times New Roman" w:cs="Times New Roman" w:eastAsia="Times New Roman" w:hAnsi="Times New Roman"/>
                <w:sz w:val="20"/>
                <w:szCs w:val="20"/>
                <w:color w:val="454546"/>
              </w:rPr>
              <w:t>Loss on disposal of property and equipment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60" w:type="dxa"/>
            <w:vAlign w:val="bottom"/>
            <w:shd w:val="clear" w:color="auto" w:fill="E3E4E5"/>
          </w:tcPr>
          <w:p>
            <w:pPr>
              <w:spacing w:after="0"/>
              <w:rPr>
                <w:sz w:val="24"/>
                <w:szCs w:val="24"/>
                <w:color w:val="auto"/>
              </w:rPr>
            </w:pPr>
          </w:p>
        </w:tc>
        <w:tc>
          <w:tcPr>
            <w:tcW w:w="744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Gain on lease modification</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(1,632)</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Impairment of long-lived assets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5,914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2,398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Noncash lease expense</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4,206</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5,682</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Accretion of discount on marketable securities</w:t>
            </w:r>
          </w:p>
        </w:tc>
        <w:tc>
          <w:tcPr>
            <w:tcW w:w="3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(1,926)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(4,613)</w:t>
            </w:r>
          </w:p>
        </w:tc>
        <w:tc>
          <w:tcPr>
            <w:tcW w:w="0" w:type="dxa"/>
            <w:vAlign w:val="bottom"/>
          </w:tcPr>
          <w:p>
            <w:pPr>
              <w:spacing w:after="0"/>
              <w:rPr>
                <w:sz w:val="1"/>
                <w:szCs w:val="1"/>
                <w:color w:val="auto"/>
              </w:rPr>
            </w:pPr>
          </w:p>
        </w:tc>
      </w:tr>
      <w:tr>
        <w:trPr>
          <w:trHeight w:val="292"/>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Changes in operating assets and liabilities:</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750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454546"/>
              </w:rPr>
              <w:t>Prepaid expenses and other current assets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Accounts payable</w:t>
            </w: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481</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(2,475)</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750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454546"/>
              </w:rPr>
              <w:t>Accrued expenses and other liabilities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(564)</w:t>
            </w:r>
          </w:p>
        </w:tc>
        <w:tc>
          <w:tcPr>
            <w:tcW w:w="0" w:type="dxa"/>
            <w:vAlign w:val="bottom"/>
          </w:tcPr>
          <w:p>
            <w:pPr>
              <w:spacing w:after="0"/>
              <w:rPr>
                <w:sz w:val="1"/>
                <w:szCs w:val="1"/>
                <w:color w:val="auto"/>
              </w:rPr>
            </w:pPr>
          </w:p>
        </w:tc>
      </w:tr>
      <w:tr>
        <w:trPr>
          <w:trHeight w:val="292"/>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ind w:left="720"/>
              <w:spacing w:after="0"/>
              <w:rPr>
                <w:sz w:val="20"/>
                <w:szCs w:val="20"/>
                <w:color w:val="auto"/>
              </w:rPr>
            </w:pPr>
            <w:r>
              <w:rPr>
                <w:rFonts w:ascii="Times New Roman" w:cs="Times New Roman" w:eastAsia="Times New Roman" w:hAnsi="Times New Roman"/>
                <w:sz w:val="20"/>
                <w:szCs w:val="20"/>
                <w:color w:val="454546"/>
              </w:rPr>
              <w:t>Operating lease liabilities</w:t>
            </w:r>
          </w:p>
        </w:tc>
        <w:tc>
          <w:tcPr>
            <w:tcW w:w="320" w:type="dxa"/>
            <w:vAlign w:val="bottom"/>
            <w:shd w:val="clear" w:color="auto" w:fill="E3E4E5"/>
          </w:tcPr>
          <w:p>
            <w:pPr>
              <w:spacing w:after="0"/>
              <w:rPr>
                <w:sz w:val="24"/>
                <w:szCs w:val="24"/>
                <w:color w:val="auto"/>
              </w:rPr>
            </w:pPr>
          </w:p>
        </w:tc>
        <w:tc>
          <w:tcPr>
            <w:tcW w:w="9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(6,743)</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(7,942)</w:t>
            </w:r>
          </w:p>
        </w:tc>
        <w:tc>
          <w:tcPr>
            <w:tcW w:w="0" w:type="dxa"/>
            <w:vAlign w:val="bottom"/>
          </w:tcPr>
          <w:p>
            <w:pPr>
              <w:spacing w:after="0"/>
              <w:rPr>
                <w:sz w:val="1"/>
                <w:szCs w:val="1"/>
                <w:color w:val="auto"/>
              </w:rPr>
            </w:pPr>
          </w:p>
        </w:tc>
      </w:tr>
      <w:tr>
        <w:trPr>
          <w:trHeight w:val="285"/>
        </w:trPr>
        <w:tc>
          <w:tcPr>
            <w:tcW w:w="60" w:type="dxa"/>
            <w:vAlign w:val="bottom"/>
            <w:tcBorders>
              <w:bottom w:val="single" w:sz="8" w:color="E3E4E5"/>
            </w:tcBorders>
          </w:tcPr>
          <w:p>
            <w:pPr>
              <w:spacing w:after="0"/>
              <w:rPr>
                <w:sz w:val="24"/>
                <w:szCs w:val="24"/>
                <w:color w:val="auto"/>
              </w:rPr>
            </w:pPr>
          </w:p>
        </w:tc>
        <w:tc>
          <w:tcPr>
            <w:tcW w:w="7500" w:type="dxa"/>
            <w:vAlign w:val="bottom"/>
            <w:tcBorders>
              <w:bottom w:val="single" w:sz="8" w:color="E3E4E5"/>
            </w:tcBorders>
            <w:gridSpan w:val="3"/>
          </w:tcPr>
          <w:p>
            <w:pPr>
              <w:ind w:left="720"/>
              <w:spacing w:after="0"/>
              <w:rPr>
                <w:sz w:val="20"/>
                <w:szCs w:val="20"/>
                <w:color w:val="auto"/>
              </w:rPr>
            </w:pPr>
            <w:r>
              <w:rPr>
                <w:rFonts w:ascii="Times New Roman" w:cs="Times New Roman" w:eastAsia="Times New Roman" w:hAnsi="Times New Roman"/>
                <w:sz w:val="20"/>
                <w:szCs w:val="20"/>
                <w:color w:val="454546"/>
              </w:rPr>
              <w:t>Deferred revenue</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(30,909)</w:t>
            </w: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(22,602)</w:t>
            </w:r>
          </w:p>
        </w:tc>
        <w:tc>
          <w:tcPr>
            <w:tcW w:w="0" w:type="dxa"/>
            <w:vAlign w:val="bottom"/>
          </w:tcPr>
          <w:p>
            <w:pPr>
              <w:spacing w:after="0"/>
              <w:rPr>
                <w:sz w:val="1"/>
                <w:szCs w:val="1"/>
                <w:color w:val="auto"/>
              </w:rPr>
            </w:pPr>
          </w:p>
        </w:tc>
      </w:tr>
      <w:tr>
        <w:trPr>
          <w:trHeight w:val="266"/>
        </w:trPr>
        <w:tc>
          <w:tcPr>
            <w:tcW w:w="60" w:type="dxa"/>
            <w:vAlign w:val="bottom"/>
            <w:shd w:val="clear" w:color="auto" w:fill="E3E4E5"/>
          </w:tcPr>
          <w:p>
            <w:pPr>
              <w:spacing w:after="0"/>
              <w:rPr>
                <w:sz w:val="23"/>
                <w:szCs w:val="23"/>
                <w:color w:val="auto"/>
              </w:rPr>
            </w:pPr>
          </w:p>
        </w:tc>
        <w:tc>
          <w:tcPr>
            <w:tcW w:w="7500" w:type="dxa"/>
            <w:vAlign w:val="bottom"/>
            <w:gridSpan w:val="3"/>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Net cash used in operating activities</w:t>
            </w:r>
          </w:p>
        </w:tc>
        <w:tc>
          <w:tcPr>
            <w:tcW w:w="320" w:type="dxa"/>
            <w:vAlign w:val="bottom"/>
            <w:tcBorders>
              <w:bottom w:val="single" w:sz="8" w:color="231F20"/>
            </w:tcBorders>
            <w:shd w:val="clear" w:color="auto" w:fill="E3E4E5"/>
          </w:tcPr>
          <w:p>
            <w:pPr>
              <w:spacing w:after="0"/>
              <w:rPr>
                <w:sz w:val="23"/>
                <w:szCs w:val="23"/>
                <w:color w:val="auto"/>
              </w:rPr>
            </w:pPr>
          </w:p>
        </w:tc>
        <w:tc>
          <w:tcPr>
            <w:tcW w:w="980" w:type="dxa"/>
            <w:vAlign w:val="bottom"/>
            <w:tcBorders>
              <w:bottom w:val="single" w:sz="8" w:color="231F20"/>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(86,099)</w:t>
            </w: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40" w:type="dxa"/>
            <w:vAlign w:val="bottom"/>
            <w:tcBorders>
              <w:bottom w:val="single" w:sz="8" w:color="231F20"/>
            </w:tcBorders>
            <w:shd w:val="clear" w:color="auto" w:fill="E3E4E5"/>
          </w:tcPr>
          <w:p>
            <w:pPr>
              <w:spacing w:after="0"/>
              <w:rPr>
                <w:sz w:val="23"/>
                <w:szCs w:val="23"/>
                <w:color w:val="auto"/>
              </w:rPr>
            </w:pPr>
          </w:p>
        </w:tc>
        <w:tc>
          <w:tcPr>
            <w:tcW w:w="980" w:type="dxa"/>
            <w:vAlign w:val="bottom"/>
            <w:tcBorders>
              <w:bottom w:val="single" w:sz="8" w:color="231F20"/>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(100,406)</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454546"/>
              </w:rPr>
              <w:t>Cash flows from investing activities: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0" w:type="dxa"/>
            <w:vAlign w:val="bottom"/>
            <w:shd w:val="clear" w:color="auto" w:fill="E3E4E5"/>
          </w:tcPr>
          <w:p>
            <w:pPr>
              <w:spacing w:after="0"/>
              <w:rPr>
                <w:sz w:val="24"/>
                <w:szCs w:val="24"/>
                <w:color w:val="auto"/>
              </w:rPr>
            </w:pPr>
          </w:p>
        </w:tc>
        <w:tc>
          <w:tcPr>
            <w:tcW w:w="7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Purchases of property and equipment</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(50)</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(906)</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Purchases of marketable securities</w:t>
            </w:r>
          </w:p>
        </w:tc>
        <w:tc>
          <w:tcPr>
            <w:tcW w:w="3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(131,247)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(261,470)</w:t>
            </w:r>
          </w:p>
        </w:tc>
        <w:tc>
          <w:tcPr>
            <w:tcW w:w="0" w:type="dxa"/>
            <w:vAlign w:val="bottom"/>
          </w:tcPr>
          <w:p>
            <w:pPr>
              <w:spacing w:after="0"/>
              <w:rPr>
                <w:sz w:val="1"/>
                <w:szCs w:val="1"/>
                <w:color w:val="auto"/>
              </w:rPr>
            </w:pPr>
          </w:p>
        </w:tc>
      </w:tr>
      <w:tr>
        <w:trPr>
          <w:trHeight w:val="293"/>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Proceeds from maturities of marketable securities</w:t>
            </w:r>
          </w:p>
        </w:tc>
        <w:tc>
          <w:tcPr>
            <w:tcW w:w="32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243,337</w:t>
            </w:r>
          </w:p>
        </w:tc>
        <w:tc>
          <w:tcPr>
            <w:tcW w:w="20" w:type="dxa"/>
            <w:vAlign w:val="bottom"/>
            <w:tcBorders>
              <w:bottom w:val="single" w:sz="8" w:color="231F20"/>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232,472</w:t>
            </w: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E3E4E5"/>
            </w:tcBorders>
          </w:tcPr>
          <w:p>
            <w:pPr>
              <w:spacing w:after="0"/>
              <w:rPr>
                <w:sz w:val="23"/>
                <w:szCs w:val="23"/>
                <w:color w:val="auto"/>
              </w:rPr>
            </w:pPr>
          </w:p>
        </w:tc>
        <w:tc>
          <w:tcPr>
            <w:tcW w:w="750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Net cash provided by (used in) investing activities</w:t>
            </w:r>
          </w:p>
        </w:tc>
        <w:tc>
          <w:tcPr>
            <w:tcW w:w="32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112,040</w:t>
            </w:r>
          </w:p>
        </w:tc>
        <w:tc>
          <w:tcPr>
            <w:tcW w:w="20" w:type="dxa"/>
            <w:vAlign w:val="bottom"/>
            <w:tcBorders>
              <w:bottom w:val="single" w:sz="8" w:color="231F20"/>
            </w:tcBorders>
          </w:tcPr>
          <w:p>
            <w:pPr>
              <w:spacing w:after="0"/>
              <w:rPr>
                <w:sz w:val="23"/>
                <w:szCs w:val="23"/>
                <w:color w:val="auto"/>
              </w:rPr>
            </w:pPr>
          </w:p>
        </w:tc>
        <w:tc>
          <w:tcPr>
            <w:tcW w:w="4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(29,904)</w:t>
            </w:r>
          </w:p>
        </w:tc>
        <w:tc>
          <w:tcPr>
            <w:tcW w:w="0" w:type="dxa"/>
            <w:vAlign w:val="bottom"/>
          </w:tcPr>
          <w:p>
            <w:pPr>
              <w:spacing w:after="0"/>
              <w:rPr>
                <w:sz w:val="1"/>
                <w:szCs w:val="1"/>
                <w:color w:val="auto"/>
              </w:rPr>
            </w:pPr>
          </w:p>
        </w:tc>
      </w:tr>
      <w:tr>
        <w:trPr>
          <w:trHeight w:val="264"/>
        </w:trPr>
        <w:tc>
          <w:tcPr>
            <w:tcW w:w="60" w:type="dxa"/>
            <w:vAlign w:val="bottom"/>
            <w:shd w:val="clear" w:color="auto" w:fill="E3E4E5"/>
          </w:tcPr>
          <w:p>
            <w:pPr>
              <w:spacing w:after="0"/>
              <w:rPr>
                <w:sz w:val="22"/>
                <w:szCs w:val="22"/>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Cash flows from financing activities:</w:t>
            </w:r>
          </w:p>
        </w:tc>
        <w:tc>
          <w:tcPr>
            <w:tcW w:w="32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4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340" w:type="dxa"/>
            <w:vAlign w:val="bottom"/>
            <w:shd w:val="clear" w:color="auto" w:fill="E3E4E5"/>
          </w:tcPr>
          <w:p>
            <w:pPr>
              <w:spacing w:after="0"/>
              <w:rPr>
                <w:sz w:val="22"/>
                <w:szCs w:val="22"/>
                <w:color w:val="auto"/>
              </w:rPr>
            </w:pPr>
          </w:p>
        </w:tc>
        <w:tc>
          <w:tcPr>
            <w:tcW w:w="9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Proceeds from offerings of common stock and pre-funded warrants, net of underwriting</w:t>
            </w:r>
          </w:p>
        </w:tc>
        <w:tc>
          <w:tcPr>
            <w:tcW w:w="320" w:type="dxa"/>
            <w:vAlign w:val="bottom"/>
          </w:tcPr>
          <w:p>
            <w:pPr>
              <w:spacing w:after="0"/>
              <w:rPr>
                <w:sz w:val="21"/>
                <w:szCs w:val="21"/>
                <w:color w:val="auto"/>
              </w:rPr>
            </w:pPr>
          </w:p>
        </w:tc>
        <w:tc>
          <w:tcPr>
            <w:tcW w:w="10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20"/>
                <w:szCs w:val="20"/>
                <w:color w:val="454546"/>
              </w:rPr>
              <w:t>—</w:t>
            </w:r>
          </w:p>
        </w:tc>
        <w:tc>
          <w:tcPr>
            <w:tcW w:w="34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103,401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discounts and commissions</w:t>
            </w:r>
          </w:p>
        </w:tc>
        <w:tc>
          <w:tcPr>
            <w:tcW w:w="320" w:type="dxa"/>
            <w:vAlign w:val="bottom"/>
          </w:tcPr>
          <w:p>
            <w:pPr>
              <w:spacing w:after="0"/>
              <w:rPr>
                <w:sz w:val="23"/>
                <w:szCs w:val="23"/>
                <w:color w:val="auto"/>
              </w:rPr>
            </w:pPr>
          </w:p>
        </w:tc>
        <w:tc>
          <w:tcPr>
            <w:tcW w:w="1040" w:type="dxa"/>
            <w:vAlign w:val="bottom"/>
            <w:gridSpan w:val="4"/>
            <w:vMerge w:val="continue"/>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0" w:type="dxa"/>
            <w:vAlign w:val="bottom"/>
            <w:shd w:val="clear" w:color="auto" w:fill="E3E4E5"/>
          </w:tcPr>
          <w:p>
            <w:pPr>
              <w:spacing w:after="0"/>
              <w:rPr>
                <w:sz w:val="24"/>
                <w:szCs w:val="24"/>
                <w:color w:val="auto"/>
              </w:rPr>
            </w:pPr>
          </w:p>
        </w:tc>
        <w:tc>
          <w:tcPr>
            <w:tcW w:w="7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Payments of public offering costs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(585)</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Proceeds from issuance of common stock upon exercise of stock options and employee stock</w:t>
            </w:r>
          </w:p>
        </w:tc>
        <w:tc>
          <w:tcPr>
            <w:tcW w:w="32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483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2,612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75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purchase plan</w:t>
            </w:r>
          </w:p>
        </w:tc>
        <w:tc>
          <w:tcPr>
            <w:tcW w:w="32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Proceeds from issuance of common stock under the ATM Facility, net of issuance costs</w:t>
            </w:r>
          </w:p>
        </w:tc>
        <w:tc>
          <w:tcPr>
            <w:tcW w:w="32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540</w:t>
            </w:r>
          </w:p>
        </w:tc>
        <w:tc>
          <w:tcPr>
            <w:tcW w:w="20" w:type="dxa"/>
            <w:vAlign w:val="bottom"/>
            <w:tcBorders>
              <w:bottom w:val="single" w:sz="8" w:color="231F20"/>
            </w:tcBorders>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E3E4E5"/>
            </w:tcBorders>
          </w:tcPr>
          <w:p>
            <w:pPr>
              <w:spacing w:after="0"/>
              <w:rPr>
                <w:sz w:val="23"/>
                <w:szCs w:val="23"/>
                <w:color w:val="auto"/>
              </w:rPr>
            </w:pPr>
          </w:p>
        </w:tc>
        <w:tc>
          <w:tcPr>
            <w:tcW w:w="7500" w:type="dxa"/>
            <w:vAlign w:val="bottom"/>
            <w:tcBorders>
              <w:bottom w:val="single" w:sz="8" w:color="E3E4E5"/>
            </w:tcBorders>
            <w:gridSpan w:val="3"/>
          </w:tcPr>
          <w:p>
            <w:pPr>
              <w:ind w:left="360"/>
              <w:spacing w:after="0"/>
              <w:rPr>
                <w:sz w:val="20"/>
                <w:szCs w:val="20"/>
                <w:color w:val="auto"/>
              </w:rPr>
            </w:pPr>
            <w:r>
              <w:rPr>
                <w:rFonts w:ascii="Times New Roman" w:cs="Times New Roman" w:eastAsia="Times New Roman" w:hAnsi="Times New Roman"/>
                <w:sz w:val="20"/>
                <w:szCs w:val="20"/>
                <w:color w:val="454546"/>
              </w:rPr>
              <w:t>Net cash provided by financing activities</w:t>
            </w:r>
          </w:p>
        </w:tc>
        <w:tc>
          <w:tcPr>
            <w:tcW w:w="32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1,023</w:t>
            </w:r>
          </w:p>
        </w:tc>
        <w:tc>
          <w:tcPr>
            <w:tcW w:w="20" w:type="dxa"/>
            <w:vAlign w:val="bottom"/>
            <w:tcBorders>
              <w:bottom w:val="single" w:sz="8" w:color="231F20"/>
            </w:tcBorders>
          </w:tcPr>
          <w:p>
            <w:pPr>
              <w:spacing w:after="0"/>
              <w:rPr>
                <w:sz w:val="23"/>
                <w:szCs w:val="23"/>
                <w:color w:val="auto"/>
              </w:rPr>
            </w:pPr>
          </w:p>
        </w:tc>
        <w:tc>
          <w:tcPr>
            <w:tcW w:w="4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105,428</w:t>
            </w:r>
          </w:p>
        </w:tc>
        <w:tc>
          <w:tcPr>
            <w:tcW w:w="2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0" w:type="dxa"/>
            <w:vAlign w:val="bottom"/>
            <w:shd w:val="clear" w:color="auto" w:fill="E3E4E5"/>
          </w:tcPr>
          <w:p>
            <w:pPr>
              <w:spacing w:after="0"/>
              <w:rPr>
                <w:sz w:val="23"/>
                <w:szCs w:val="23"/>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Net increase (decrease) in cash, cash equivalents and restricted cash</w:t>
            </w:r>
          </w:p>
        </w:tc>
        <w:tc>
          <w:tcPr>
            <w:tcW w:w="320" w:type="dxa"/>
            <w:vAlign w:val="bottom"/>
            <w:shd w:val="clear" w:color="auto" w:fill="E3E4E5"/>
          </w:tcPr>
          <w:p>
            <w:pPr>
              <w:spacing w:after="0"/>
              <w:rPr>
                <w:sz w:val="23"/>
                <w:szCs w:val="23"/>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26,964</w:t>
            </w:r>
          </w:p>
        </w:tc>
        <w:tc>
          <w:tcPr>
            <w:tcW w:w="2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40" w:type="dxa"/>
            <w:vAlign w:val="bottom"/>
            <w:shd w:val="clear" w:color="auto" w:fill="E3E4E5"/>
          </w:tcPr>
          <w:p>
            <w:pPr>
              <w:spacing w:after="0"/>
              <w:rPr>
                <w:sz w:val="23"/>
                <w:szCs w:val="23"/>
                <w:color w:val="auto"/>
              </w:rPr>
            </w:pPr>
          </w:p>
        </w:tc>
        <w:tc>
          <w:tcPr>
            <w:tcW w:w="9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(24,882)</w:t>
            </w:r>
          </w:p>
        </w:tc>
        <w:tc>
          <w:tcPr>
            <w:tcW w:w="0" w:type="dxa"/>
            <w:vAlign w:val="bottom"/>
          </w:tcPr>
          <w:p>
            <w:pPr>
              <w:spacing w:after="0"/>
              <w:rPr>
                <w:sz w:val="1"/>
                <w:szCs w:val="1"/>
                <w:color w:val="auto"/>
              </w:rPr>
            </w:pPr>
          </w:p>
        </w:tc>
      </w:tr>
      <w:tr>
        <w:trPr>
          <w:trHeight w:val="284"/>
        </w:trPr>
        <w:tc>
          <w:tcPr>
            <w:tcW w:w="60" w:type="dxa"/>
            <w:vAlign w:val="bottom"/>
            <w:tcBorders>
              <w:bottom w:val="single" w:sz="8" w:color="E3E4E5"/>
            </w:tcBorders>
          </w:tcPr>
          <w:p>
            <w:pPr>
              <w:spacing w:after="0"/>
              <w:rPr>
                <w:sz w:val="24"/>
                <w:szCs w:val="24"/>
                <w:color w:val="auto"/>
              </w:rPr>
            </w:pPr>
          </w:p>
        </w:tc>
        <w:tc>
          <w:tcPr>
            <w:tcW w:w="7500" w:type="dxa"/>
            <w:vAlign w:val="bottom"/>
            <w:tcBorders>
              <w:bottom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Cash, cash equivalents and restricted cash at beginning of period</w:t>
            </w:r>
          </w:p>
        </w:tc>
        <w:tc>
          <w:tcPr>
            <w:tcW w:w="3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57,162</w:t>
            </w: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82,044</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bottom w:val="single" w:sz="8" w:color="E3E4E5"/>
            </w:tcBorders>
            <w:shd w:val="clear" w:color="auto" w:fill="E3E4E5"/>
          </w:tcPr>
          <w:p>
            <w:pPr>
              <w:spacing w:after="0"/>
              <w:rPr>
                <w:sz w:val="24"/>
                <w:szCs w:val="24"/>
                <w:color w:val="auto"/>
              </w:rPr>
            </w:pPr>
          </w:p>
        </w:tc>
        <w:tc>
          <w:tcPr>
            <w:tcW w:w="7500" w:type="dxa"/>
            <w:vAlign w:val="bottom"/>
            <w:tcBorders>
              <w:bottom w:val="single" w:sz="8" w:color="E3E4E5"/>
            </w:tcBorders>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Cash, cash equivalents and restricted cash at end of period</w:t>
            </w:r>
          </w:p>
        </w:tc>
        <w:tc>
          <w:tcPr>
            <w:tcW w:w="32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84,126</w:t>
            </w:r>
          </w:p>
        </w:tc>
        <w:tc>
          <w:tcPr>
            <w:tcW w:w="20" w:type="dxa"/>
            <w:vAlign w:val="bottom"/>
            <w:tcBorders>
              <w:bottom w:val="single" w:sz="8" w:color="231F20"/>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57,162</w:t>
            </w: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454546"/>
              </w:rPr>
              <w:t>Supplemental cash flow information:</w:t>
            </w:r>
          </w:p>
        </w:tc>
        <w:tc>
          <w:tcPr>
            <w:tcW w:w="3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75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Borders>
              <w:bottom w:val="single" w:sz="8" w:color="E3E4E5"/>
            </w:tcBorders>
            <w:shd w:val="clear" w:color="auto" w:fill="E3E4E5"/>
          </w:tcPr>
          <w:p>
            <w:pPr>
              <w:spacing w:after="0"/>
              <w:rPr>
                <w:sz w:val="24"/>
                <w:szCs w:val="24"/>
                <w:color w:val="auto"/>
              </w:rPr>
            </w:pPr>
          </w:p>
        </w:tc>
        <w:tc>
          <w:tcPr>
            <w:tcW w:w="7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Cash paid for taxes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w:t>
            </w:r>
          </w:p>
        </w:tc>
        <w:tc>
          <w:tcPr>
            <w:tcW w:w="20" w:type="dxa"/>
            <w:vAlign w:val="bottom"/>
            <w:tcBorders>
              <w:bottom w:val="single" w:sz="8" w:color="E3E4E5"/>
            </w:tcBorders>
            <w:shd w:val="clear" w:color="auto" w:fill="E3E4E5"/>
          </w:tcPr>
          <w:p>
            <w:pPr>
              <w:spacing w:after="0"/>
              <w:rPr>
                <w:sz w:val="24"/>
                <w:szCs w:val="24"/>
                <w:color w:val="auto"/>
              </w:rPr>
            </w:pP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860</w:t>
            </w:r>
          </w:p>
        </w:tc>
        <w:tc>
          <w:tcPr>
            <w:tcW w:w="2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0"/>
                <w:szCs w:val="20"/>
                <w:b w:val="1"/>
                <w:bCs w:val="1"/>
                <w:color w:val="454546"/>
              </w:rPr>
              <w:t>Supplemental disclosure and noncash investing and financing information: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0" w:type="dxa"/>
            <w:vAlign w:val="bottom"/>
            <w:shd w:val="clear" w:color="auto" w:fill="E3E4E5"/>
          </w:tcPr>
          <w:p>
            <w:pPr>
              <w:spacing w:after="0"/>
              <w:rPr>
                <w:sz w:val="24"/>
                <w:szCs w:val="24"/>
                <w:color w:val="auto"/>
              </w:rPr>
            </w:pPr>
          </w:p>
        </w:tc>
        <w:tc>
          <w:tcPr>
            <w:tcW w:w="74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Purchases of property and equipment included in accounts payable and accrued expenses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75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454546"/>
              </w:rPr>
              <w:t>Reconciliation of cash, cash equivalents and restricted cash:</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E3E4E5"/>
          </w:tcPr>
          <w:p>
            <w:pPr>
              <w:spacing w:after="0"/>
              <w:rPr>
                <w:sz w:val="24"/>
                <w:szCs w:val="24"/>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Cash and cash equivalents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80,876</w:t>
            </w:r>
          </w:p>
        </w:tc>
        <w:tc>
          <w:tcPr>
            <w:tcW w:w="20" w:type="dxa"/>
            <w:vAlign w:val="bottom"/>
            <w:shd w:val="clear" w:color="auto" w:fill="E3E4E5"/>
          </w:tcPr>
          <w:p>
            <w:pPr>
              <w:spacing w:after="0"/>
              <w:rPr>
                <w:sz w:val="24"/>
                <w:szCs w:val="24"/>
                <w:color w:val="auto"/>
              </w:rPr>
            </w:pP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55,454</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 w:type="dxa"/>
            <w:vAlign w:val="bottom"/>
            <w:tcBorders>
              <w:bottom w:val="single" w:sz="8" w:color="E3E4E5"/>
            </w:tcBorders>
          </w:tcPr>
          <w:p>
            <w:pPr>
              <w:spacing w:after="0"/>
              <w:rPr>
                <w:sz w:val="24"/>
                <w:szCs w:val="24"/>
                <w:color w:val="auto"/>
              </w:rPr>
            </w:pPr>
          </w:p>
        </w:tc>
        <w:tc>
          <w:tcPr>
            <w:tcW w:w="7500" w:type="dxa"/>
            <w:vAlign w:val="bottom"/>
            <w:tcBorders>
              <w:bottom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Restricted cash (current and non-current)</w:t>
            </w:r>
          </w:p>
        </w:tc>
        <w:tc>
          <w:tcPr>
            <w:tcW w:w="32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3,250</w:t>
            </w: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1,708</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0" w:type="dxa"/>
            <w:vAlign w:val="bottom"/>
            <w:shd w:val="clear" w:color="auto" w:fill="E3E4E5"/>
          </w:tcPr>
          <w:p>
            <w:pPr>
              <w:spacing w:after="0"/>
              <w:rPr>
                <w:sz w:val="23"/>
                <w:szCs w:val="23"/>
                <w:color w:val="auto"/>
              </w:rPr>
            </w:pPr>
          </w:p>
        </w:tc>
        <w:tc>
          <w:tcPr>
            <w:tcW w:w="750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Total cash, cash equivalents and restricted cash shown in the statement of cash flows</w:t>
            </w: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84,126</w:t>
            </w:r>
          </w:p>
        </w:tc>
        <w:tc>
          <w:tcPr>
            <w:tcW w:w="20" w:type="dxa"/>
            <w:vAlign w:val="bottom"/>
            <w:shd w:val="clear" w:color="auto" w:fill="E3E4E5"/>
          </w:tcPr>
          <w:p>
            <w:pPr>
              <w:spacing w:after="0"/>
              <w:rPr>
                <w:sz w:val="23"/>
                <w:szCs w:val="23"/>
                <w:color w:val="auto"/>
              </w:rPr>
            </w:pPr>
          </w:p>
        </w:tc>
        <w:tc>
          <w:tcPr>
            <w:tcW w:w="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4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57,162</w:t>
            </w:r>
          </w:p>
        </w:tc>
        <w:tc>
          <w:tcPr>
            <w:tcW w:w="2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454546"/>
        </w:rPr>
        <w:t>The accompanying notes are an integral part of these consolidated financial statements.</w:t>
      </w:r>
    </w:p>
    <w:p>
      <w:pPr>
        <w:sectPr>
          <w:pgSz w:w="11880" w:h="15480" w:orient="portrait"/>
          <w:cols w:equalWidth="0" w:num="1">
            <w:col w:w="10220"/>
          </w:cols>
          <w:pgMar w:left="760" w:top="50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454546"/>
        </w:rPr>
        <w:t>79</w:t>
      </w:r>
    </w:p>
    <w:p>
      <w:pPr>
        <w:sectPr>
          <w:pgSz w:w="11880" w:h="15480" w:orient="portrait"/>
          <w:cols w:equalWidth="0" w:num="1">
            <w:col w:w="10220"/>
          </w:cols>
          <w:pgMar w:left="760" w:top="500" w:right="900" w:bottom="0"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25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454546"/>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 Nature of Business, Going Concern and Basis of Presentation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Nature of Business</w:t>
      </w:r>
    </w:p>
    <w:p>
      <w:pPr>
        <w:spacing w:after="0" w:line="130" w:lineRule="exact"/>
        <w:rPr>
          <w:sz w:val="20"/>
          <w:szCs w:val="20"/>
          <w:color w:val="auto"/>
        </w:rPr>
      </w:pPr>
    </w:p>
    <w:p>
      <w:pPr>
        <w:jc w:val="both"/>
        <w:ind w:right="140"/>
        <w:spacing w:after="0" w:line="280" w:lineRule="auto"/>
        <w:rPr>
          <w:sz w:val="20"/>
          <w:szCs w:val="20"/>
          <w:color w:val="auto"/>
        </w:rPr>
      </w:pPr>
      <w:r>
        <w:rPr>
          <w:rFonts w:ascii="Times New Roman" w:cs="Times New Roman" w:eastAsia="Times New Roman" w:hAnsi="Times New Roman"/>
          <w:sz w:val="19"/>
          <w:szCs w:val="19"/>
          <w:color w:val="454546"/>
        </w:rPr>
        <w:t>Foghorn Therapeutics Inc. (the “Company”) is a clinical-stage biopharmaceutical company discovering and developing a new class of medicines targeting genetically determined dependencies within the chromatin regulatory system. The Company uses its proprietary Gene Traffic Control platform to identify, validate and potentially drug targets within the system. The Company was founded in October 2015 as a Delaware corporation. The Company is headquartered in Watertown, Massachusetts.</w:t>
      </w:r>
    </w:p>
    <w:p>
      <w:pPr>
        <w:spacing w:after="0" w:line="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454546"/>
        </w:rPr>
        <w:t>The Company is subject to risks similar to those of other clinical-stage companies in the biopharmaceutical industry, including dependence on key individuals, the need to develop commercially viable products, competition from other companies, many of whom are larger and better capitalized,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Going concern</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454546"/>
        </w:rPr>
        <w:t>The accompanying consolidated financial statements have been prepared on the basis of continuity of operations, realization of assets and the satisfaction of liabilities and commitments in the ordinary course of business. Since inception, the Company has funded its operations primarily with proceeds from sales of preferred stock, upfront and milestone payments from a collaboration agreements, public offerings and a stock purchase agreement. The Company has incurred recurring losses, including net losses of $74.3 million and $86.6 million for the years ended December 31, 2025 and 2024, respectively. As of December 31, 2025, the Company had an accumulated deficit of $632.5 million. The Company expects to continue to generate operating losses in the foreseeable future. As of the issuance date of these consolidated financial statements the Company expects that its cash, cash equivalents and marketable securities will be sufficient to fund its operating expenses and capital expenditure requirements for at least 12 months.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The Company will need to obtain additional funding through public or private equity offerings, debt financings, collaborations, strategic alliances and/or licensing arrangements to continue to fund its operations. The Company may not be able to obtain financing on acceptable terms, or at all, and the Company may not be able to enter into collaborative or strategic alliances or licensing arrangements. The terms of any financing may adversely affect the holdings or the rights of the Company’s stockholders. Arrangements with collaborators or others may require the Company to relinquish rights to certain of its technologies or programs. If the Company is unable to obtain funding, the Company could be forced to delay, reduce or eliminate some or all of its research and development programs, pipeline expansion or commercialization efforts, which could adversely affect its business prospects. Although management will continue to pursue these plans, there is no assurance that the Company will be successful in obtaining sufficient funding in the future on terms acceptable to the Company to fund continuing operations when needed or at all.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Basis of presentation</w:t>
      </w:r>
    </w:p>
    <w:p>
      <w:pPr>
        <w:spacing w:after="0" w:line="13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454546"/>
        </w:rPr>
        <w:t>The Company’s consolidated financial statements have been prepared in conformity with accounting principles generally accepted in the United States of America (“GAAP”). The accompanying consolidated financial statements include the accounts of the Company and its wholly owned subsidiary. All intercompany accounts and transactions have been eliminated in consolidation. Any reference in these notes to applicable guidance is meant to refer to the authoritative GAAP as found in the Accounting Standards Codification (“ASC”) and Accounting Standards Update (“ASU”) of the Financial Accounting Standards Board (“FASB”).</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2. Summary of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Use of estimates</w:t>
      </w:r>
    </w:p>
    <w:p>
      <w:pPr>
        <w:spacing w:after="0" w:line="13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454546"/>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Significant estimates and assumptions reflected in these consolidated financial statements include, but are not limited to, revenue recognition and the accrual of research and development expenses. The Company bases its estimates on historical experience, known trends and</w:t>
      </w:r>
    </w:p>
    <w:p>
      <w:pPr>
        <w:sectPr>
          <w:pgSz w:w="11880" w:h="15480" w:orient="portrait"/>
          <w:cols w:equalWidth="0" w:num="1">
            <w:col w:w="10260"/>
          </w:cols>
          <w:pgMar w:left="820" w:top="500" w:right="800" w:bottom="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80</w:t>
      </w:r>
    </w:p>
    <w:p>
      <w:pPr>
        <w:sectPr>
          <w:pgSz w:w="11880" w:h="15480" w:orient="portrait"/>
          <w:cols w:equalWidth="0" w:num="1">
            <w:col w:w="10260"/>
          </w:cols>
          <w:pgMar w:left="820" w:top="500" w:right="800" w:bottom="0" w:gutter="0" w:footer="0" w:header="0"/>
          <w:type w:val="continuous"/>
        </w:sectPr>
      </w:pPr>
    </w:p>
    <w:bookmarkStart w:id="82" w:name="page83"/>
    <w:bookmarkEnd w:id="82"/>
    <w:p>
      <w:pPr>
        <w:ind w:right="20"/>
        <w:spacing w:after="0" w:line="269" w:lineRule="auto"/>
        <w:rPr>
          <w:sz w:val="20"/>
          <w:szCs w:val="20"/>
          <w:color w:val="auto"/>
        </w:rPr>
      </w:pPr>
      <w:r>
        <w:rPr>
          <w:rFonts w:ascii="Times New Roman" w:cs="Times New Roman" w:eastAsia="Times New Roman" w:hAnsi="Times New Roman"/>
          <w:sz w:val="20"/>
          <w:szCs w:val="20"/>
          <w:color w:val="454546"/>
        </w:rPr>
        <w:t>other market-specific or other relevant factors that it believes to be reasonable under the circumstances. On an ongoing basis, management evaluates its estimates as there are changes in circumstances, facts and experience. Actual results may differ from those estimates or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Concentrations of credit risk and of significant suppliers</w:t>
      </w:r>
    </w:p>
    <w:p>
      <w:pPr>
        <w:spacing w:after="0" w:line="13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454546"/>
        </w:rPr>
        <w:t>Financial instruments that potentially expose the Company to concentrations of credit risk consist primarily of cash, cash equivalents and marketable securities. The Company does not believe that it is subject to unusual credit risk beyond the normal credit risk associated with commercial banking relationships.</w:t>
      </w:r>
    </w:p>
    <w:p>
      <w:pPr>
        <w:spacing w:after="0" w:line="67"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20"/>
          <w:szCs w:val="20"/>
          <w:color w:val="454546"/>
        </w:rPr>
        <w:t>The Company relies, and expects to continue to rely, on a small number of vendors to provide services, supplies and materials for certain activities related to its programs. These programs could be adversely affected by a significant interruption in these services or the availability of materials.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Cash equivalents</w:t>
      </w:r>
    </w:p>
    <w:p>
      <w:pPr>
        <w:spacing w:after="0" w:line="13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color w:val="454546"/>
        </w:rPr>
        <w:t>The Company considers all highly liquid investments with original maturities of three months or less at the date of purchase to be cash equivalents.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Marketable Securities</w:t>
      </w:r>
    </w:p>
    <w:p>
      <w:pPr>
        <w:spacing w:after="0" w:line="13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color w:val="454546"/>
        </w:rPr>
        <w:t>The Company’s marketable securities are classified as available-for-sale and are carried at fair value with the unrealized gains and losses reported as a component of accumulated other comprehensive loss in stockholders’ equity. The Company classifies its marketable securities with maturities beyond one year as short-term, based on their highly liquid nature and because such marketable securities are available for current operations.</w:t>
      </w:r>
    </w:p>
    <w:p>
      <w:pPr>
        <w:spacing w:after="0" w:line="76" w:lineRule="exact"/>
        <w:rPr>
          <w:sz w:val="20"/>
          <w:szCs w:val="20"/>
          <w:color w:val="auto"/>
        </w:rPr>
      </w:pPr>
    </w:p>
    <w:p>
      <w:pPr>
        <w:ind w:right="140" w:firstLine="1"/>
        <w:spacing w:after="0" w:line="255" w:lineRule="auto"/>
        <w:rPr>
          <w:sz w:val="20"/>
          <w:szCs w:val="20"/>
          <w:color w:val="auto"/>
        </w:rPr>
      </w:pPr>
      <w:r>
        <w:rPr>
          <w:rFonts w:ascii="Times New Roman" w:cs="Times New Roman" w:eastAsia="Times New Roman" w:hAnsi="Times New Roman"/>
          <w:sz w:val="20"/>
          <w:szCs w:val="20"/>
          <w:color w:val="454546"/>
        </w:rPr>
        <w:t xml:space="preserve">The Company reviews marketable securities whenever the fair value of an investment is less than the amortized cost and evidence indicates that an investment’s carrying value is not recoverable. For available-for-sale debt securities, the credit allowance is limited to the amount that fair value is less than amortized cost. Unrealized gains (losses) are evaluated for impairment under ASC 326, </w:t>
      </w:r>
      <w:r>
        <w:rPr>
          <w:rFonts w:ascii="Times New Roman" w:cs="Times New Roman" w:eastAsia="Times New Roman" w:hAnsi="Times New Roman"/>
          <w:sz w:val="20"/>
          <w:szCs w:val="20"/>
          <w:i w:val="1"/>
          <w:iCs w:val="1"/>
          <w:color w:val="454546"/>
        </w:rPr>
        <w:t>Financial Instruments - Credit Losses</w:t>
      </w:r>
      <w:r>
        <w:rPr>
          <w:rFonts w:ascii="Times New Roman" w:cs="Times New Roman" w:eastAsia="Times New Roman" w:hAnsi="Times New Roman"/>
          <w:sz w:val="20"/>
          <w:szCs w:val="20"/>
          <w:color w:val="454546"/>
        </w:rPr>
        <w:t>, to determine if the impairment is credit-related or noncredit-related. Credit-related impairment is recognized as an allowance on the consolidated balance sheets with a corresponding adjustment to earnings, and noncredit-related impairment is recognized in other comprehensive loss. Evidence considered in this assessment includes reasons for the impairment, compliance with our investment policy, the severity of the impairment, collectability of the security, and any adverse conditions specifically related to the security, an industry, or geographic area.</w:t>
      </w:r>
    </w:p>
    <w:p>
      <w:pPr>
        <w:spacing w:after="0" w:line="8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454546"/>
        </w:rPr>
        <w:t>Unrealized gains and losses are included as a component of accumulated other comprehensive loss in the consolidated balance sheets and consolidated statements of stockholders’ deficit and a component of total comprehensive loss. Realized gains and losses are included as a component of other income, net based on the specific identification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Restricted cash</w:t>
      </w:r>
    </w:p>
    <w:p>
      <w:pPr>
        <w:spacing w:after="0" w:line="13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454546"/>
        </w:rPr>
        <w:t>Amounts included in restricted cash represent amounts pledged as collateral for letters of credit required for security deposits on the Company’s leased facilities. These amounts are classified as restricted cash in the Company’s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Property and equipment</w:t>
      </w:r>
    </w:p>
    <w:p>
      <w:pPr>
        <w:spacing w:after="0" w:line="13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color w:val="454546"/>
        </w:rPr>
        <w:t>Property and equipment are stated at cost less accumulated depreciation and amortization. Depreciation and amortization expense is recognized using the straight-line method over the estimated useful life of each asset as follows:</w:t>
      </w:r>
    </w:p>
    <w:p>
      <w:pPr>
        <w:spacing w:after="0" w:line="110"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4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Estimated Useful Life</w:t>
            </w:r>
          </w:p>
        </w:tc>
      </w:tr>
      <w:tr>
        <w:trPr>
          <w:trHeight w:val="265"/>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454546"/>
              </w:rPr>
              <w:t>Laboratory equipment</w:t>
            </w: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7"/>
              </w:rPr>
              <w:t>5 years</w:t>
            </w:r>
          </w:p>
        </w:tc>
      </w:tr>
      <w:tr>
        <w:trPr>
          <w:trHeight w:val="272"/>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454546"/>
              </w:rPr>
              <w:t>Furniture and fixtures</w:t>
            </w: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7"/>
              </w:rPr>
              <w:t>5 years</w:t>
            </w:r>
          </w:p>
        </w:tc>
      </w:tr>
      <w:tr>
        <w:trPr>
          <w:trHeight w:val="286"/>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454546"/>
              </w:rPr>
              <w:t>Computer equipment and software</w:t>
            </w: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454546"/>
              </w:rPr>
              <w:t>3 years</w:t>
            </w:r>
          </w:p>
        </w:tc>
      </w:tr>
      <w:tr>
        <w:trPr>
          <w:trHeight w:val="286"/>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454546"/>
              </w:rPr>
              <w:t>Leasehold improvements</w:t>
            </w:r>
          </w:p>
        </w:tc>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454546"/>
                <w:w w:val="99"/>
              </w:rPr>
              <w:t>Shorter of useful life or remaining term of lease</w:t>
            </w:r>
          </w:p>
        </w:tc>
      </w:tr>
    </w:tbl>
    <w:p>
      <w:pPr>
        <w:spacing w:after="0" w:line="20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9"/>
          <w:szCs w:val="19"/>
          <w:color w:val="454546"/>
        </w:rPr>
        <w:t>Costs for capital assets not yet placed into service are depreciated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ectPr>
          <w:pgSz w:w="11880" w:h="15480" w:orient="portrait"/>
          <w:cols w:equalWidth="0" w:num="1">
            <w:col w:w="10160"/>
          </w:cols>
          <w:pgMar w:left="820" w:top="50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454546"/>
        </w:rPr>
        <w:t>81</w:t>
      </w:r>
    </w:p>
    <w:p>
      <w:pPr>
        <w:sectPr>
          <w:pgSz w:w="11880" w:h="15480" w:orient="portrait"/>
          <w:cols w:equalWidth="0" w:num="1">
            <w:col w:w="10160"/>
          </w:cols>
          <w:pgMar w:left="820" w:top="504" w:right="90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454546"/>
        </w:rPr>
        <w:t>Impairment of long-lived assets</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The Company evaluates its long-lived assets, which consist primarily of property and equipment and operating lease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For the years ended December 31, 2025 and 2024, the Company recorded a non-cash impairment charge of $5.9 million and $2.4 million, respectively, on the consolidated statements of operations and comprehensive loss. See Note 10 Leases and Note 4 Property and Equipment, Net,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Fair value measurements</w:t>
      </w:r>
    </w:p>
    <w:p>
      <w:pPr>
        <w:spacing w:after="0" w:line="13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454546"/>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2" w:lineRule="exact"/>
        <w:rPr>
          <w:sz w:val="20"/>
          <w:szCs w:val="20"/>
          <w:color w:val="auto"/>
        </w:rPr>
      </w:pPr>
    </w:p>
    <w:p>
      <w:pPr>
        <w:ind w:left="540" w:hanging="369"/>
        <w:spacing w:after="0"/>
        <w:tabs>
          <w:tab w:leader="none" w:pos="540" w:val="left"/>
        </w:tabs>
        <w:numPr>
          <w:ilvl w:val="0"/>
          <w:numId w:val="3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Level 1—Quoted prices in active markets for identical assets or liabilities.</w:t>
      </w:r>
    </w:p>
    <w:p>
      <w:pPr>
        <w:spacing w:after="0" w:line="129" w:lineRule="exact"/>
        <w:rPr>
          <w:rFonts w:ascii="Times New Roman" w:cs="Times New Roman" w:eastAsia="Times New Roman" w:hAnsi="Times New Roman"/>
          <w:sz w:val="20"/>
          <w:szCs w:val="20"/>
          <w:color w:val="454546"/>
        </w:rPr>
      </w:pPr>
    </w:p>
    <w:p>
      <w:pPr>
        <w:ind w:left="540" w:right="80" w:hanging="369"/>
        <w:spacing w:after="0" w:line="269" w:lineRule="auto"/>
        <w:tabs>
          <w:tab w:leader="none" w:pos="540" w:val="left"/>
        </w:tabs>
        <w:numPr>
          <w:ilvl w:val="0"/>
          <w:numId w:val="3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6" w:lineRule="exact"/>
        <w:rPr>
          <w:rFonts w:ascii="Times New Roman" w:cs="Times New Roman" w:eastAsia="Times New Roman" w:hAnsi="Times New Roman"/>
          <w:sz w:val="20"/>
          <w:szCs w:val="20"/>
          <w:color w:val="454546"/>
        </w:rPr>
      </w:pPr>
    </w:p>
    <w:p>
      <w:pPr>
        <w:ind w:left="540" w:hanging="369"/>
        <w:spacing w:after="0" w:line="269" w:lineRule="auto"/>
        <w:tabs>
          <w:tab w:leader="none" w:pos="540" w:val="left"/>
        </w:tabs>
        <w:numPr>
          <w:ilvl w:val="0"/>
          <w:numId w:val="39"/>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67"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454546"/>
        </w:rPr>
        <w:t>The Company’s cash equivalents and marketable securities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Collaboration Agreements</w:t>
      </w:r>
    </w:p>
    <w:p>
      <w:pPr>
        <w:spacing w:after="0" w:line="13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454546"/>
        </w:rPr>
        <w:t xml:space="preserve">The Company analyzes its collaboration arrangements to assess whether they are within the scope of ASC 808, </w:t>
      </w:r>
      <w:r>
        <w:rPr>
          <w:rFonts w:ascii="Times New Roman" w:cs="Times New Roman" w:eastAsia="Times New Roman" w:hAnsi="Times New Roman"/>
          <w:sz w:val="19"/>
          <w:szCs w:val="19"/>
          <w:i w:val="1"/>
          <w:iCs w:val="1"/>
          <w:color w:val="454546"/>
        </w:rPr>
        <w:t>Collaborative</w:t>
      </w:r>
      <w:r>
        <w:rPr>
          <w:rFonts w:ascii="Times New Roman" w:cs="Times New Roman" w:eastAsia="Times New Roman" w:hAnsi="Times New Roman"/>
          <w:sz w:val="19"/>
          <w:szCs w:val="19"/>
          <w:color w:val="454546"/>
        </w:rPr>
        <w:t xml:space="preserve"> </w:t>
      </w:r>
      <w:r>
        <w:rPr>
          <w:rFonts w:ascii="Times New Roman" w:cs="Times New Roman" w:eastAsia="Times New Roman" w:hAnsi="Times New Roman"/>
          <w:sz w:val="19"/>
          <w:szCs w:val="19"/>
          <w:i w:val="1"/>
          <w:iCs w:val="1"/>
          <w:color w:val="454546"/>
        </w:rPr>
        <w:t xml:space="preserve">Arrangements </w:t>
      </w:r>
      <w:r>
        <w:rPr>
          <w:rFonts w:ascii="Times New Roman" w:cs="Times New Roman" w:eastAsia="Times New Roman" w:hAnsi="Times New Roman"/>
          <w:sz w:val="19"/>
          <w:szCs w:val="19"/>
          <w:color w:val="454546"/>
        </w:rPr>
        <w:t>(“ASC 808”) to determine whether such arrangements involve joint operating activities performed by parties that</w:t>
      </w:r>
      <w:r>
        <w:rPr>
          <w:rFonts w:ascii="Times New Roman" w:cs="Times New Roman" w:eastAsia="Times New Roman" w:hAnsi="Times New Roman"/>
          <w:sz w:val="19"/>
          <w:szCs w:val="19"/>
          <w:i w:val="1"/>
          <w:iCs w:val="1"/>
          <w:color w:val="454546"/>
        </w:rPr>
        <w:t xml:space="preserve"> </w:t>
      </w:r>
      <w:r>
        <w:rPr>
          <w:rFonts w:ascii="Times New Roman" w:cs="Times New Roman" w:eastAsia="Times New Roman" w:hAnsi="Times New Roman"/>
          <w:sz w:val="19"/>
          <w:szCs w:val="19"/>
          <w:color w:val="454546"/>
        </w:rPr>
        <w:t xml:space="preserve">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When the Company has concluded that it has a customer relationship with one of its collaborators, the Company follows the guidance in ASC Topic 606, </w:t>
      </w:r>
      <w:r>
        <w:rPr>
          <w:rFonts w:ascii="Times New Roman" w:cs="Times New Roman" w:eastAsia="Times New Roman" w:hAnsi="Times New Roman"/>
          <w:sz w:val="19"/>
          <w:szCs w:val="19"/>
          <w:i w:val="1"/>
          <w:iCs w:val="1"/>
          <w:color w:val="454546"/>
        </w:rPr>
        <w:t>Revenue From Contracts With Customers</w:t>
      </w:r>
      <w:r>
        <w:rPr>
          <w:rFonts w:ascii="Times New Roman" w:cs="Times New Roman" w:eastAsia="Times New Roman" w:hAnsi="Times New Roman"/>
          <w:sz w:val="19"/>
          <w:szCs w:val="19"/>
          <w:color w:val="454546"/>
        </w:rPr>
        <w:t xml:space="preserve"> (“ASC 606”).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Revenue recognition</w:t>
      </w:r>
    </w:p>
    <w:p>
      <w:pPr>
        <w:spacing w:after="0" w:line="13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9"/>
          <w:szCs w:val="19"/>
          <w:color w:val="454546"/>
        </w:rPr>
        <w:t>The Company accounts for its collaboration arrangement under ASC 606, as the Company concluded that it has a customer relationship with its collaborator. For additional information on the Company’s collaboration agreements, see Note</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color w:val="454546"/>
        </w:rPr>
        <w:t>8, Collaboration Agreement, to these consolidated financial statements.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spacing w:after="0" w:line="91"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0"/>
          <w:szCs w:val="20"/>
          <w:color w:val="454546"/>
        </w:rPr>
        <w:t>The Company assesses the goods or services promised within each contract and determines those that are performance obligations. The promised goods or services in the Company’s arrangements would likely consist of licenses, rights to the Company’s intellectual property, research and development services and related supporting activities.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ectPr>
          <w:pgSz w:w="11880" w:h="15480" w:orient="portrait"/>
          <w:cols w:equalWidth="0" w:num="1">
            <w:col w:w="10260"/>
          </w:cols>
          <w:pgMar w:left="820" w:top="5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82</w:t>
      </w:r>
    </w:p>
    <w:p>
      <w:pPr>
        <w:sectPr>
          <w:pgSz w:w="11880" w:h="15480" w:orient="portrait"/>
          <w:cols w:equalWidth="0" w:num="1">
            <w:col w:w="10260"/>
          </w:cols>
          <w:pgMar w:left="820" w:top="504" w:right="800" w:bottom="0" w:gutter="0" w:footer="0" w:header="0"/>
          <w:type w:val="continuous"/>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20"/>
          <w:szCs w:val="20"/>
          <w:color w:val="454546"/>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development,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454546"/>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8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454546"/>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454546"/>
        </w:rPr>
        <w:t>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control such as regulatory approvals, are generally not considered probable of being achieved until those approvals are received. The Company evaluates the measure of progress each reporting period and, if 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w:t>
      </w:r>
    </w:p>
    <w:p>
      <w:pPr>
        <w:spacing w:after="0" w:line="8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20"/>
          <w:szCs w:val="20"/>
          <w:color w:val="454546"/>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7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454546"/>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454546"/>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the transfer of the promised goods or services to the customer and the payment by the customer will be one year or less. The Company then recognizes as revenue the amount of the transaction price that is allocated to the respective performance obligation when (or as) each performance obligation is satisfied, either at a point in time or over time, and if over time, recognition is based on the use of an output or input method.</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83</w:t>
      </w:r>
    </w:p>
    <w:p>
      <w:pPr>
        <w:sectPr>
          <w:pgSz w:w="11880" w:h="15480" w:orient="portrait"/>
          <w:cols w:equalWidth="0" w:num="1">
            <w:col w:w="10240"/>
          </w:cols>
          <w:pgMar w:left="820" w:top="504" w:right="82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454546"/>
        </w:rPr>
        <w:t>Research and development costs</w:t>
      </w:r>
    </w:p>
    <w:p>
      <w:pPr>
        <w:spacing w:after="0" w:line="130"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20"/>
          <w:szCs w:val="20"/>
          <w:color w:val="454546"/>
        </w:rPr>
        <w:t>Research and development expenses consist of costs incurred in performing research and development activities, including salaries and bonuses, stock-based compensation, employee benefits, facilities costs, laboratory supplies, depreciation, and external costs of vendors engaged to conduct research, preclinical and clinical development activities as well as the cost of licensing technology.</w:t>
      </w:r>
    </w:p>
    <w:p>
      <w:pPr>
        <w:spacing w:after="0" w:line="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454546"/>
        </w:rPr>
        <w:t>Upfront payments and milestone payments made for the licensing of technology are expensed as research and development over the period to which they relate. Costs for research and development activities are expensed in the period in which they are incurred. Payments for such activities are based on the terms of the individual arrangements, which may differ from the pattern of costs incurred, and are reflected in the consolidated financial statements as prepaid expense or accrued research and development expense. Determining the prepaid and accrued balances at the end of any reporting period incorporate certain judgments and estimates by management that are based on information available to the Company including information provided by vendors regarding the progress to completion of specific tasks or costs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Patent costs</w:t>
      </w:r>
    </w:p>
    <w:p>
      <w:pPr>
        <w:spacing w:after="0" w:line="130" w:lineRule="exact"/>
        <w:rPr>
          <w:sz w:val="20"/>
          <w:szCs w:val="20"/>
          <w:color w:val="auto"/>
        </w:rPr>
      </w:pPr>
    </w:p>
    <w:p>
      <w:pPr>
        <w:jc w:val="both"/>
        <w:ind w:right="160"/>
        <w:spacing w:after="0" w:line="315" w:lineRule="auto"/>
        <w:rPr>
          <w:sz w:val="20"/>
          <w:szCs w:val="20"/>
          <w:color w:val="auto"/>
        </w:rPr>
      </w:pPr>
      <w:r>
        <w:rPr>
          <w:rFonts w:ascii="Times New Roman" w:cs="Times New Roman" w:eastAsia="Times New Roman" w:hAnsi="Times New Roman"/>
          <w:sz w:val="19"/>
          <w:szCs w:val="19"/>
          <w:color w:val="454546"/>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Leases</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454546"/>
        </w:rPr>
        <w:t>The Company accounts for a contract as a lease when it has the right to control the asset for a period of time while obtaining substantially all of the asset’s economic benefits. The Company determines if an arrangement is a lease or contains an embedded lease at inception. For arrangements that meet the definition of a lease, the Company determines the initial classification and measurement of its right-of-use asset and lease liability at the lease commencement date and thereafter if modified. The lease term includes any renewal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Company’s policy is to not record leases with an original term of twelve months or less on its consolidated balance sheets and recognizes those lease payments in the consolidated statements of operations and comprehensive loss as incurred over the lease term. The Company’s existing leases are for office and laboratory space and an equipment lease.</w:t>
      </w:r>
    </w:p>
    <w:p>
      <w:pPr>
        <w:spacing w:after="0" w:line="8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454546"/>
        </w:rPr>
        <w:t>In addition to rent, the leases may require the Company to pay additional costs, such as utilities, maintenance and other operating costs, which are generally referred to as non-lease components. The Company has elected to not separate lease and non-lease components. Only the fixed costs for lease components and their associated non-lease components are accounted for as a single lease component and recognized as part of a right-of-use asset and liability. Rent expense for operating leases is recognized on a straight-line basis over the reasonably assured lease term based on the total lease payments and is included in operating expense in the consolidated statements of operations and comprehensive loss.</w:t>
      </w:r>
    </w:p>
    <w:p>
      <w:pPr>
        <w:spacing w:after="0" w:line="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454546"/>
        </w:rPr>
        <w:t>The Company received payments and income from a sublease on a portion of the Company’s Cambridge, Massachusetts office lease prior to the sublease’s termination (see Note 10). The Company recognized sublease income on a straight-line basis over the lease term in other income, net, net on the consolidated statements of operations and comprehensive loss, net of any revenue share due to the Company’s lessor.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The Company measures stock options with service-based vesting or performance-based vesting granted to employees, non-employees and directors based on the fair value on the date of grant using the Black-Scholes option-pricing model. Compensation expense for the awards is recognized over the requisite service period for employees and directors and as services are delivered for non-employees, both of which are generally the vesting period of the respective award. The Company uses the straight-line method to record the expense of awards with only service-based vesting conditions. The Company uses the graded-vesting method to record the expense of awards with both service-based and performance-based vesting conditions, commencing once achievement of the performance condition becomes probable. The Company accounts for forfeitures of share-based awards as they occur.</w:t>
      </w:r>
    </w:p>
    <w:p>
      <w:pPr>
        <w:spacing w:after="0" w:line="8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454546"/>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84</w:t>
      </w:r>
    </w:p>
    <w:p>
      <w:pPr>
        <w:sectPr>
          <w:pgSz w:w="11880" w:h="15480" w:orient="portrait"/>
          <w:cols w:equalWidth="0" w:num="1">
            <w:col w:w="10240"/>
          </w:cols>
          <w:pgMar w:left="820" w:top="504" w:right="82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454546"/>
        </w:rPr>
        <w:t>Net loss per share</w:t>
      </w:r>
    </w:p>
    <w:p>
      <w:pPr>
        <w:spacing w:after="0" w:line="13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9"/>
          <w:szCs w:val="19"/>
          <w:color w:val="454546"/>
        </w:rPr>
        <w:t>Basic net income (loss) per share attributable to common stockholders is computed by dividing net income (loss) attributable to common stockholders by the weighted average number of common shares outstanding for the period. Diluted net income (loss) per share attributable to common stockholders is computed by dividing net income (loss) attributable to common stockholders by the weighted average number of common shares outstanding for the period, adjusted for potential dilutive common shares.</w:t>
      </w:r>
    </w:p>
    <w:p>
      <w:pPr>
        <w:spacing w:after="0" w:line="6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454546"/>
        </w:rPr>
        <w:t>In periods in which the Company reported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Company reported a net loss attributable to common stockholders for the years ended December 31, 2025 and 2024.</w:t>
      </w:r>
    </w:p>
    <w:p>
      <w:pPr>
        <w:spacing w:after="0" w:line="200" w:lineRule="exact"/>
        <w:rPr>
          <w:sz w:val="20"/>
          <w:szCs w:val="20"/>
          <w:color w:val="auto"/>
        </w:rPr>
      </w:pPr>
    </w:p>
    <w:p>
      <w:pPr>
        <w:spacing w:after="0" w:line="290"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color w:val="454546"/>
        </w:rPr>
        <w:t>The following pre-funded warrants outstanding at each period end were included in the basic and diluted net loss per share calculation: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Pr>
          <w:p>
            <w:pPr>
              <w:spacing w:after="0"/>
              <w:rPr>
                <w:sz w:val="20"/>
                <w:szCs w:val="20"/>
                <w:color w:val="auto"/>
              </w:rPr>
            </w:pPr>
          </w:p>
        </w:tc>
        <w:tc>
          <w:tcPr>
            <w:tcW w:w="1800" w:type="dxa"/>
            <w:vAlign w:val="bottom"/>
            <w:tcBorders>
              <w:bottom w:val="single" w:sz="8" w:color="231F20"/>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454546"/>
                <w:w w:val="98"/>
              </w:rPr>
              <w:t>December 31,</w:t>
            </w:r>
          </w:p>
        </w:tc>
        <w:tc>
          <w:tcPr>
            <w:tcW w:w="880" w:type="dxa"/>
            <w:vAlign w:val="bottom"/>
            <w:tcBorders>
              <w:bottom w:val="single" w:sz="8" w:color="231F20"/>
            </w:tcBorders>
          </w:tcPr>
          <w:p>
            <w:pPr>
              <w:spacing w:after="0"/>
              <w:rPr>
                <w:sz w:val="20"/>
                <w:szCs w:val="20"/>
                <w:color w:val="auto"/>
              </w:rPr>
            </w:pPr>
          </w:p>
        </w:tc>
      </w:tr>
      <w:tr>
        <w:trPr>
          <w:trHeight w:val="234"/>
        </w:trPr>
        <w:tc>
          <w:tcPr>
            <w:tcW w:w="7560" w:type="dxa"/>
            <w:vAlign w:val="bottom"/>
            <w:tcBorders>
              <w:bottom w:val="single" w:sz="8" w:color="E3E4E5"/>
            </w:tcBorders>
          </w:tcPr>
          <w:p>
            <w:pPr>
              <w:spacing w:after="0"/>
              <w:rPr>
                <w:sz w:val="20"/>
                <w:szCs w:val="20"/>
                <w:color w:val="auto"/>
              </w:rPr>
            </w:pPr>
          </w:p>
        </w:tc>
        <w:tc>
          <w:tcPr>
            <w:tcW w:w="1300" w:type="dxa"/>
            <w:vAlign w:val="bottom"/>
            <w:tcBorders>
              <w:bottom w:val="single" w:sz="8" w:color="231F20"/>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81"/>
        </w:trPr>
        <w:tc>
          <w:tcPr>
            <w:tcW w:w="75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Pre-funded warrants to purchase common stock</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6,494,829</w:t>
            </w:r>
          </w:p>
        </w:tc>
        <w:tc>
          <w:tcPr>
            <w:tcW w:w="8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97"/>
              </w:rPr>
              <w:t>7,220,794</w:t>
            </w:r>
          </w:p>
        </w:tc>
      </w:tr>
    </w:tbl>
    <w:p>
      <w:pPr>
        <w:spacing w:after="0" w:line="7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20"/>
          <w:szCs w:val="20"/>
          <w:color w:val="454546"/>
        </w:rPr>
        <w:t>For the year ended December 31, 2025, 725,965 pre-funded warrants were exercised. For the year ended December 31, 2024, no pre-funded warrants were exercised.</w:t>
      </w:r>
    </w:p>
    <w:p>
      <w:pPr>
        <w:spacing w:after="0" w:line="5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color w:val="454546"/>
        </w:rPr>
        <w:t>The following common stock equivalents presented based on amounts outstanding at each period end, were excluded from the calculation of diluted net loss per share because including them would have had an anti-dilutive impact: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Borders>
              <w:bottom w:val="single" w:sz="8" w:color="231F20"/>
            </w:tcBorders>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454546"/>
              </w:rPr>
              <w:t>December 31,</w:t>
            </w:r>
          </w:p>
        </w:tc>
      </w:tr>
      <w:tr>
        <w:trPr>
          <w:trHeight w:val="236"/>
        </w:trPr>
        <w:tc>
          <w:tcPr>
            <w:tcW w:w="7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jc w:val="right"/>
              <w:ind w:right="38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14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80"/>
        </w:trPr>
        <w:tc>
          <w:tcPr>
            <w:tcW w:w="7540" w:type="dxa"/>
            <w:vAlign w:val="bottom"/>
            <w:tcBorders>
              <w:top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Stock options to purchase common stock</w:t>
            </w:r>
          </w:p>
        </w:tc>
        <w:tc>
          <w:tcPr>
            <w:tcW w:w="20" w:type="dxa"/>
            <w:vAlign w:val="bottom"/>
            <w:tcBorders>
              <w:top w:val="single" w:sz="8" w:color="E3E4E5"/>
            </w:tcBorders>
            <w:shd w:val="clear" w:color="auto" w:fill="E3E4E5"/>
          </w:tcPr>
          <w:p>
            <w:pPr>
              <w:spacing w:after="0"/>
              <w:rPr>
                <w:sz w:val="24"/>
                <w:szCs w:val="24"/>
                <w:color w:val="auto"/>
              </w:rPr>
            </w:pPr>
          </w:p>
        </w:tc>
        <w:tc>
          <w:tcPr>
            <w:tcW w:w="12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10,257,501</w:t>
            </w:r>
          </w:p>
        </w:tc>
        <w:tc>
          <w:tcPr>
            <w:tcW w:w="20" w:type="dxa"/>
            <w:vAlign w:val="bottom"/>
            <w:tcBorders>
              <w:top w:val="single" w:sz="8" w:color="231F20"/>
            </w:tcBorders>
            <w:shd w:val="clear" w:color="auto" w:fill="E3E4E5"/>
          </w:tcPr>
          <w:p>
            <w:pPr>
              <w:spacing w:after="0"/>
              <w:rPr>
                <w:sz w:val="24"/>
                <w:szCs w:val="24"/>
                <w:color w:val="auto"/>
              </w:rPr>
            </w:pPr>
          </w:p>
        </w:tc>
        <w:tc>
          <w:tcPr>
            <w:tcW w:w="60" w:type="dxa"/>
            <w:vAlign w:val="bottom"/>
            <w:tcBorders>
              <w:top w:val="single" w:sz="8" w:color="E3E4E5"/>
            </w:tcBorders>
            <w:shd w:val="clear" w:color="auto" w:fill="E3E4E5"/>
          </w:tcPr>
          <w:p>
            <w:pPr>
              <w:spacing w:after="0"/>
              <w:rPr>
                <w:sz w:val="24"/>
                <w:szCs w:val="24"/>
                <w:color w:val="auto"/>
              </w:rPr>
            </w:pPr>
          </w:p>
        </w:tc>
        <w:tc>
          <w:tcPr>
            <w:tcW w:w="20" w:type="dxa"/>
            <w:vAlign w:val="bottom"/>
            <w:tcBorders>
              <w:top w:val="single" w:sz="8" w:color="E3E4E5"/>
            </w:tcBorders>
            <w:shd w:val="clear" w:color="auto" w:fill="E3E4E5"/>
          </w:tcPr>
          <w:p>
            <w:pPr>
              <w:spacing w:after="0"/>
              <w:rPr>
                <w:sz w:val="24"/>
                <w:szCs w:val="24"/>
                <w:color w:val="auto"/>
              </w:rPr>
            </w:pPr>
          </w:p>
        </w:tc>
        <w:tc>
          <w:tcPr>
            <w:tcW w:w="13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8,989,893</w:t>
            </w:r>
          </w:p>
        </w:tc>
      </w:tr>
      <w:tr>
        <w:trPr>
          <w:trHeight w:val="300"/>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454546"/>
              </w:rPr>
              <w:t>Warrants to purchase common stock</w:t>
            </w: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18,445</w:t>
            </w: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E3E4E5"/>
            </w:tcBorders>
            <w:gridSpan w:val="2"/>
          </w:tcPr>
          <w:p>
            <w:pPr>
              <w:spacing w:after="0"/>
              <w:rPr>
                <w:sz w:val="24"/>
                <w:szCs w:val="24"/>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18,445</w:t>
            </w:r>
          </w:p>
        </w:tc>
      </w:tr>
      <w:tr>
        <w:trPr>
          <w:trHeight w:val="281"/>
        </w:trPr>
        <w:tc>
          <w:tcPr>
            <w:tcW w:w="75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10,275,946</w:t>
            </w:r>
          </w:p>
        </w:tc>
        <w:tc>
          <w:tcPr>
            <w:tcW w:w="80" w:type="dxa"/>
            <w:vAlign w:val="bottom"/>
            <w:gridSpan w:val="2"/>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9,008,338</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Segments</w:t>
      </w:r>
    </w:p>
    <w:p>
      <w:pPr>
        <w:spacing w:after="0" w:line="13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454546"/>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Company’s CODM is its chief executive officer and the Company manages its operations as a single segment for the purposes of assessing performance and making operating decisions. The Company is focused on pioneering the discovery and development of a new class of medicines targeting genetically determined dependencies within the chromatin regulatory system. See Note 14 for additional disclosures related to segment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Comprehensive loss</w:t>
      </w:r>
    </w:p>
    <w:p>
      <w:pPr>
        <w:spacing w:after="0" w:line="13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454546"/>
        </w:rPr>
        <w:t>Comprehensive loss includes net loss as well as other changes in stockholders’ equity that result from transactions and economic events other than those with stockholders. For the years ended December 31, 2025 and 2024, the Company’s only element of other comprehensive loss was unrealized gains and losses on available for sale debt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Income taxes</w:t>
      </w:r>
    </w:p>
    <w:p>
      <w:pPr>
        <w:spacing w:after="0" w:line="13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454546"/>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the provision for income taxes. Potential for recovery of deferred tax assets is evaluated by estimating the future taxable profits expected and considering prudent and feasible tax planning strategies.</w:t>
      </w:r>
    </w:p>
    <w:p>
      <w:pPr>
        <w:spacing w:after="0" w:line="86"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9"/>
          <w:szCs w:val="19"/>
          <w:color w:val="454546"/>
        </w:rPr>
        <w:t>The Company accounts for uncertainty in income taxes recognized in the consolidated financial statements by applying a two-step process to determine the amount of tax benefit to be recognized. First, the tax position must be evaluated to determine the</w:t>
      </w:r>
    </w:p>
    <w:p>
      <w:pPr>
        <w:sectPr>
          <w:pgSz w:w="11880" w:h="15480" w:orient="portrait"/>
          <w:cols w:equalWidth="0" w:num="1">
            <w:col w:w="10240"/>
          </w:cols>
          <w:pgMar w:left="820" w:top="504" w:right="820" w:bottom="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85</w:t>
      </w:r>
    </w:p>
    <w:p>
      <w:pPr>
        <w:sectPr>
          <w:pgSz w:w="11880" w:h="15480" w:orient="portrait"/>
          <w:cols w:equalWidth="0" w:num="1">
            <w:col w:w="10240"/>
          </w:cols>
          <w:pgMar w:left="820" w:top="504" w:right="820" w:bottom="0" w:gutter="0" w:footer="0" w:header="0"/>
          <w:type w:val="continuous"/>
        </w:sectPr>
      </w:pPr>
    </w:p>
    <w:bookmarkStart w:id="87" w:name="page88"/>
    <w:bookmarkEnd w:id="87"/>
    <w:p>
      <w:pPr>
        <w:spacing w:after="0" w:line="259" w:lineRule="auto"/>
        <w:rPr>
          <w:sz w:val="20"/>
          <w:szCs w:val="20"/>
          <w:color w:val="auto"/>
        </w:rPr>
      </w:pPr>
      <w:r>
        <w:rPr>
          <w:rFonts w:ascii="Times New Roman" w:cs="Times New Roman" w:eastAsia="Times New Roman" w:hAnsi="Times New Roman"/>
          <w:sz w:val="20"/>
          <w:szCs w:val="20"/>
          <w:color w:val="454546"/>
        </w:rPr>
        <w:t>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Any resulting unrecognized tax benefits are recorded within the provision for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Recently issued accounting pronouncements</w:t>
      </w:r>
    </w:p>
    <w:p>
      <w:pPr>
        <w:spacing w:after="0" w:line="13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color w:val="454546"/>
        </w:rPr>
        <w:t>From time to time, new accounting pronouncements are issued by the FASB or other standard setting bodies that the Company adopts as of the specified effective date.</w:t>
      </w:r>
    </w:p>
    <w:p>
      <w:pPr>
        <w:spacing w:after="0" w:line="5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454546"/>
        </w:rPr>
        <w:t>In December 2023, the FASB issued ASU 2023-09, "Income Taxes (Topic 740): Improvements to Income Tax Disclosures." The standard enhances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The Company adopted ASU 2023-09 during the year ended December 31, 2025 on a prospective basis. The expanded disclosures are included in the consolidated financial statements (Note 9).</w:t>
      </w:r>
    </w:p>
    <w:p>
      <w:pPr>
        <w:spacing w:after="0" w:line="8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0"/>
          <w:szCs w:val="20"/>
          <w:color w:val="454546"/>
        </w:rPr>
        <w:t>In November 2024, the FASB issued ASU 2024-03, Income Statement - Reporting Comprehensive Income - Expense Disaggregation Disclosures , which is intended to improve disclosures about a public company’s expenses including the disclosure of certain expenses included and aggregated in captions such as cost of sales, selling general &amp; administrative and research and development expenses on the consolidated financial statements on an interim and annual basis. The standard is effective for annual periods beginning after December 15, 2026 and interim periods within annual periods beginning after December 15, 2027. Early adoption is permitted. The Company is currently evaluating the impact of the standard on the presentation of its consolidated financial statements and footnotes.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3. Marketable Securities and Fair Value Measurements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As of December 31, 2025, available for sale marketable securities by security type consisted of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454546"/>
              </w:rPr>
              <w:t>Amortized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454546"/>
                <w:w w:val="99"/>
              </w:rPr>
              <w:t>Gross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454546"/>
                <w:w w:val="99"/>
              </w:rPr>
              <w:t>Gross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454546"/>
              </w:rPr>
              <w:t>Estimated</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200"/>
              <w:spacing w:after="0" w:line="178" w:lineRule="exact"/>
              <w:rPr>
                <w:sz w:val="20"/>
                <w:szCs w:val="20"/>
                <w:color w:val="auto"/>
              </w:rPr>
            </w:pPr>
            <w:r>
              <w:rPr>
                <w:rFonts w:ascii="Times New Roman" w:cs="Times New Roman" w:eastAsia="Times New Roman" w:hAnsi="Times New Roman"/>
                <w:sz w:val="16"/>
                <w:szCs w:val="16"/>
                <w:b w:val="1"/>
                <w:bCs w:val="1"/>
                <w:color w:val="454546"/>
                <w:w w:val="99"/>
              </w:rPr>
              <w:t>Unrealized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left="200"/>
              <w:spacing w:after="0" w:line="178" w:lineRule="exact"/>
              <w:rPr>
                <w:sz w:val="20"/>
                <w:szCs w:val="20"/>
                <w:color w:val="auto"/>
              </w:rPr>
            </w:pPr>
            <w:r>
              <w:rPr>
                <w:rFonts w:ascii="Times New Roman" w:cs="Times New Roman" w:eastAsia="Times New Roman" w:hAnsi="Times New Roman"/>
                <w:sz w:val="16"/>
                <w:szCs w:val="16"/>
                <w:b w:val="1"/>
                <w:bCs w:val="1"/>
                <w:color w:val="454546"/>
                <w:w w:val="99"/>
              </w:rPr>
              <w:t>Unrealized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29"/>
              <w:spacing w:after="0" w:line="178" w:lineRule="exact"/>
              <w:rPr>
                <w:sz w:val="20"/>
                <w:szCs w:val="20"/>
                <w:color w:val="auto"/>
              </w:rPr>
            </w:pPr>
            <w:r>
              <w:rPr>
                <w:rFonts w:ascii="Times New Roman" w:cs="Times New Roman" w:eastAsia="Times New Roman" w:hAnsi="Times New Roman"/>
                <w:sz w:val="16"/>
                <w:szCs w:val="16"/>
                <w:b w:val="1"/>
                <w:bCs w:val="1"/>
                <w:color w:val="454546"/>
              </w:rPr>
              <w:t>Fair</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454546"/>
              </w:rPr>
              <w:t>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454546"/>
                <w:w w:val="99"/>
              </w:rPr>
              <w:t>Gains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left="180"/>
              <w:spacing w:after="0"/>
              <w:rPr>
                <w:sz w:val="20"/>
                <w:szCs w:val="20"/>
                <w:color w:val="auto"/>
              </w:rPr>
            </w:pPr>
            <w:r>
              <w:rPr>
                <w:rFonts w:ascii="Times New Roman" w:cs="Times New Roman" w:eastAsia="Times New Roman" w:hAnsi="Times New Roman"/>
                <w:sz w:val="16"/>
                <w:szCs w:val="16"/>
                <w:b w:val="1"/>
                <w:bCs w:val="1"/>
                <w:color w:val="454546"/>
                <w:w w:val="98"/>
              </w:rPr>
              <w:t>Losses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0" w:type="dxa"/>
            <w:vAlign w:val="bottom"/>
          </w:tcPr>
          <w:p>
            <w:pPr>
              <w:spacing w:after="0"/>
              <w:rPr>
                <w:sz w:val="1"/>
                <w:szCs w:val="1"/>
                <w:color w:val="auto"/>
              </w:rPr>
            </w:pPr>
          </w:p>
        </w:tc>
      </w:tr>
      <w:tr>
        <w:trPr>
          <w:trHeight w:val="30"/>
        </w:trPr>
        <w:tc>
          <w:tcPr>
            <w:tcW w:w="40" w:type="dxa"/>
            <w:vAlign w:val="bottom"/>
            <w:tcBorders>
              <w:bottom w:val="single" w:sz="8" w:color="E3E4E5"/>
            </w:tcBorders>
          </w:tcPr>
          <w:p>
            <w:pPr>
              <w:spacing w:after="0"/>
              <w:rPr>
                <w:sz w:val="2"/>
                <w:szCs w:val="2"/>
                <w:color w:val="auto"/>
              </w:rPr>
            </w:pPr>
          </w:p>
        </w:tc>
        <w:tc>
          <w:tcPr>
            <w:tcW w:w="474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E3E4E5"/>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E3E4E5"/>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0" w:type="dxa"/>
            <w:vAlign w:val="bottom"/>
            <w:tcBorders>
              <w:bottom w:val="single" w:sz="8" w:color="E3E4E5"/>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40" w:type="dxa"/>
            <w:vAlign w:val="bottom"/>
            <w:shd w:val="clear" w:color="auto" w:fill="E3E4E5"/>
          </w:tcPr>
          <w:p>
            <w:pPr>
              <w:spacing w:after="0"/>
              <w:rPr>
                <w:sz w:val="23"/>
                <w:szCs w:val="23"/>
                <w:color w:val="auto"/>
              </w:rPr>
            </w:pPr>
          </w:p>
        </w:tc>
        <w:tc>
          <w:tcPr>
            <w:tcW w:w="47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U.S. government agencies (due within one year)</w:t>
            </w:r>
          </w:p>
        </w:tc>
        <w:tc>
          <w:tcPr>
            <w:tcW w:w="20" w:type="dxa"/>
            <w:vAlign w:val="bottom"/>
            <w:shd w:val="clear" w:color="auto" w:fill="E3E4E5"/>
          </w:tcPr>
          <w:p>
            <w:pPr>
              <w:spacing w:after="0"/>
              <w:rPr>
                <w:sz w:val="23"/>
                <w:szCs w:val="23"/>
                <w:color w:val="auto"/>
              </w:rPr>
            </w:pPr>
          </w:p>
        </w:tc>
        <w:tc>
          <w:tcPr>
            <w:tcW w:w="220" w:type="dxa"/>
            <w:vAlign w:val="bottom"/>
            <w:shd w:val="clear" w:color="auto" w:fill="E3E4E5"/>
          </w:tcPr>
          <w:p>
            <w:pPr>
              <w:spacing w:after="0"/>
              <w:rPr>
                <w:sz w:val="23"/>
                <w:szCs w:val="23"/>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1,500</w:t>
            </w:r>
          </w:p>
        </w:tc>
        <w:tc>
          <w:tcPr>
            <w:tcW w:w="2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1020" w:type="dxa"/>
            <w:vAlign w:val="bottom"/>
            <w:shd w:val="clear" w:color="auto" w:fill="E3E4E5"/>
          </w:tcPr>
          <w:p>
            <w:pPr>
              <w:spacing w:after="0"/>
              <w:rPr>
                <w:sz w:val="23"/>
                <w:szCs w:val="23"/>
                <w:color w:val="auto"/>
              </w:rPr>
            </w:pPr>
          </w:p>
        </w:tc>
        <w:tc>
          <w:tcPr>
            <w:tcW w:w="2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89"/>
              </w:rPr>
              <w:t>—</w:t>
            </w:r>
          </w:p>
        </w:tc>
        <w:tc>
          <w:tcPr>
            <w:tcW w:w="2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1020" w:type="dxa"/>
            <w:vAlign w:val="bottom"/>
            <w:shd w:val="clear" w:color="auto" w:fill="E3E4E5"/>
          </w:tcPr>
          <w:p>
            <w:pPr>
              <w:spacing w:after="0"/>
              <w:rPr>
                <w:sz w:val="23"/>
                <w:szCs w:val="23"/>
                <w:color w:val="auto"/>
              </w:rPr>
            </w:pPr>
          </w:p>
        </w:tc>
        <w:tc>
          <w:tcPr>
            <w:tcW w:w="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89"/>
              </w:rPr>
              <w:t>—</w:t>
            </w:r>
          </w:p>
        </w:tc>
        <w:tc>
          <w:tcPr>
            <w:tcW w:w="80" w:type="dxa"/>
            <w:vAlign w:val="bottom"/>
            <w:shd w:val="clear" w:color="auto" w:fill="E3E4E5"/>
          </w:tcPr>
          <w:p>
            <w:pPr>
              <w:spacing w:after="0"/>
              <w:rPr>
                <w:sz w:val="23"/>
                <w:szCs w:val="23"/>
                <w:color w:val="auto"/>
              </w:rPr>
            </w:pPr>
          </w:p>
        </w:tc>
        <w:tc>
          <w:tcPr>
            <w:tcW w:w="220" w:type="dxa"/>
            <w:vAlign w:val="bottom"/>
            <w:shd w:val="clear" w:color="auto" w:fill="E3E4E5"/>
          </w:tcPr>
          <w:p>
            <w:pPr>
              <w:spacing w:after="0"/>
              <w:rPr>
                <w:sz w:val="23"/>
                <w:szCs w:val="23"/>
                <w:color w:val="auto"/>
              </w:rPr>
            </w:pP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1,500</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Commercial paper (due within one year)</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35,286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35,287</w:t>
            </w:r>
          </w:p>
        </w:tc>
        <w:tc>
          <w:tcPr>
            <w:tcW w:w="0" w:type="dxa"/>
            <w:vAlign w:val="bottom"/>
          </w:tcPr>
          <w:p>
            <w:pPr>
              <w:spacing w:after="0"/>
              <w:rPr>
                <w:sz w:val="1"/>
                <w:szCs w:val="1"/>
                <w:color w:val="auto"/>
              </w:rPr>
            </w:pPr>
          </w:p>
        </w:tc>
      </w:tr>
      <w:tr>
        <w:trPr>
          <w:trHeight w:val="290"/>
        </w:trPr>
        <w:tc>
          <w:tcPr>
            <w:tcW w:w="40" w:type="dxa"/>
            <w:vAlign w:val="bottom"/>
            <w:shd w:val="clear" w:color="auto" w:fill="E3E4E5"/>
          </w:tcPr>
          <w:p>
            <w:pPr>
              <w:spacing w:after="0"/>
              <w:rPr>
                <w:sz w:val="24"/>
                <w:szCs w:val="24"/>
                <w:color w:val="auto"/>
              </w:rPr>
            </w:pPr>
          </w:p>
        </w:tc>
        <w:tc>
          <w:tcPr>
            <w:tcW w:w="47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Corporate notes and bonds (due within one year)</w:t>
            </w:r>
          </w:p>
        </w:tc>
        <w:tc>
          <w:tcPr>
            <w:tcW w:w="20" w:type="dxa"/>
            <w:vAlign w:val="bottom"/>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10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41,208</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89"/>
              </w:rPr>
              <w:t>23</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89"/>
              </w:rPr>
              <w:t>—</w:t>
            </w:r>
          </w:p>
        </w:tc>
        <w:tc>
          <w:tcPr>
            <w:tcW w:w="80" w:type="dxa"/>
            <w:vAlign w:val="bottom"/>
            <w:tcBorders>
              <w:bottom w:val="single" w:sz="8" w:color="231F20"/>
            </w:tcBorders>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10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41,231</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454546"/>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77,994</w:t>
            </w:r>
          </w:p>
        </w:tc>
        <w:tc>
          <w:tcPr>
            <w:tcW w:w="1120" w:type="dxa"/>
            <w:vAlign w:val="bottom"/>
            <w:gridSpan w:val="3"/>
          </w:tcPr>
          <w:p>
            <w:pPr>
              <w:jc w:val="right"/>
              <w:ind w:right="800"/>
              <w:spacing w:after="0"/>
              <w:rPr>
                <w:sz w:val="20"/>
                <w:szCs w:val="20"/>
                <w:color w:val="auto"/>
              </w:rPr>
            </w:pPr>
            <w:r>
              <w:rPr>
                <w:rFonts w:ascii="Times New Roman" w:cs="Times New Roman" w:eastAsia="Times New Roman" w:hAnsi="Times New Roman"/>
                <w:sz w:val="20"/>
                <w:szCs w:val="20"/>
                <w:color w:val="454546"/>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454546"/>
                <w:w w:val="89"/>
              </w:rPr>
              <w:t>27</w:t>
            </w:r>
          </w:p>
        </w:tc>
        <w:tc>
          <w:tcPr>
            <w:tcW w:w="1120" w:type="dxa"/>
            <w:vAlign w:val="bottom"/>
            <w:gridSpan w:val="3"/>
          </w:tcPr>
          <w:p>
            <w:pPr>
              <w:jc w:val="right"/>
              <w:ind w:right="780"/>
              <w:spacing w:after="0"/>
              <w:rPr>
                <w:sz w:val="20"/>
                <w:szCs w:val="20"/>
                <w:color w:val="auto"/>
              </w:rPr>
            </w:pPr>
            <w:r>
              <w:rPr>
                <w:rFonts w:ascii="Times New Roman" w:cs="Times New Roman" w:eastAsia="Times New Roman" w:hAnsi="Times New Roman"/>
                <w:sz w:val="20"/>
                <w:szCs w:val="20"/>
                <w:color w:val="454546"/>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78,018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As of December 31, 2024, available for sale marketable securities by security type consisted of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186"/>
              <w:spacing w:after="0"/>
              <w:rPr>
                <w:sz w:val="20"/>
                <w:szCs w:val="20"/>
                <w:color w:val="auto"/>
              </w:rPr>
            </w:pPr>
            <w:r>
              <w:rPr>
                <w:rFonts w:ascii="Times New Roman" w:cs="Times New Roman" w:eastAsia="Times New Roman" w:hAnsi="Times New Roman"/>
                <w:sz w:val="16"/>
                <w:szCs w:val="16"/>
                <w:b w:val="1"/>
                <w:bCs w:val="1"/>
                <w:color w:val="454546"/>
              </w:rPr>
              <w:t>Amortized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454546"/>
                <w:w w:val="99"/>
              </w:rPr>
              <w:t>Gross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454546"/>
                <w:w w:val="99"/>
              </w:rPr>
              <w:t>Gross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454546"/>
              </w:rPr>
              <w:t>Estimated</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08"/>
              <w:spacing w:after="0" w:line="178" w:lineRule="exact"/>
              <w:rPr>
                <w:sz w:val="20"/>
                <w:szCs w:val="20"/>
                <w:color w:val="auto"/>
              </w:rPr>
            </w:pPr>
            <w:r>
              <w:rPr>
                <w:rFonts w:ascii="Times New Roman" w:cs="Times New Roman" w:eastAsia="Times New Roman" w:hAnsi="Times New Roman"/>
                <w:sz w:val="16"/>
                <w:szCs w:val="16"/>
                <w:b w:val="1"/>
                <w:bCs w:val="1"/>
                <w:color w:val="454546"/>
                <w:w w:val="99"/>
              </w:rPr>
              <w:t>Unrealized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28"/>
              <w:spacing w:after="0" w:line="178" w:lineRule="exact"/>
              <w:rPr>
                <w:sz w:val="20"/>
                <w:szCs w:val="20"/>
                <w:color w:val="auto"/>
              </w:rPr>
            </w:pPr>
            <w:r>
              <w:rPr>
                <w:rFonts w:ascii="Times New Roman" w:cs="Times New Roman" w:eastAsia="Times New Roman" w:hAnsi="Times New Roman"/>
                <w:sz w:val="16"/>
                <w:szCs w:val="16"/>
                <w:b w:val="1"/>
                <w:bCs w:val="1"/>
                <w:color w:val="454546"/>
                <w:w w:val="99"/>
              </w:rPr>
              <w:t>Unrealized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28"/>
              <w:spacing w:after="0" w:line="178" w:lineRule="exact"/>
              <w:rPr>
                <w:sz w:val="20"/>
                <w:szCs w:val="20"/>
                <w:color w:val="auto"/>
              </w:rPr>
            </w:pPr>
            <w:r>
              <w:rPr>
                <w:rFonts w:ascii="Times New Roman" w:cs="Times New Roman" w:eastAsia="Times New Roman" w:hAnsi="Times New Roman"/>
                <w:sz w:val="16"/>
                <w:szCs w:val="16"/>
                <w:b w:val="1"/>
                <w:bCs w:val="1"/>
                <w:color w:val="454546"/>
              </w:rPr>
              <w:t>Fair</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454546"/>
              </w:rPr>
              <w:t>Cost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454546"/>
                <w:w w:val="99"/>
              </w:rPr>
              <w:t>Gains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454546"/>
                <w:w w:val="98"/>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0" w:type="dxa"/>
            <w:vAlign w:val="bottom"/>
          </w:tcPr>
          <w:p>
            <w:pPr>
              <w:spacing w:after="0"/>
              <w:rPr>
                <w:sz w:val="1"/>
                <w:szCs w:val="1"/>
                <w:color w:val="auto"/>
              </w:rPr>
            </w:pPr>
          </w:p>
        </w:tc>
      </w:tr>
      <w:tr>
        <w:trPr>
          <w:trHeight w:val="30"/>
        </w:trPr>
        <w:tc>
          <w:tcPr>
            <w:tcW w:w="40" w:type="dxa"/>
            <w:vAlign w:val="bottom"/>
            <w:tcBorders>
              <w:bottom w:val="single" w:sz="8" w:color="E3E4E5"/>
            </w:tcBorders>
          </w:tcPr>
          <w:p>
            <w:pPr>
              <w:spacing w:after="0"/>
              <w:rPr>
                <w:sz w:val="2"/>
                <w:szCs w:val="2"/>
                <w:color w:val="auto"/>
              </w:rPr>
            </w:pPr>
          </w:p>
        </w:tc>
        <w:tc>
          <w:tcPr>
            <w:tcW w:w="4700" w:type="dxa"/>
            <w:vAlign w:val="bottom"/>
            <w:tcBorders>
              <w:bottom w:val="single" w:sz="8" w:color="E3E4E5"/>
            </w:tcBorders>
          </w:tcPr>
          <w:p>
            <w:pPr>
              <w:spacing w:after="0"/>
              <w:rPr>
                <w:sz w:val="2"/>
                <w:szCs w:val="2"/>
                <w:color w:val="auto"/>
              </w:rPr>
            </w:pPr>
          </w:p>
        </w:tc>
        <w:tc>
          <w:tcPr>
            <w:tcW w:w="4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80" w:type="dxa"/>
            <w:vAlign w:val="bottom"/>
            <w:tcBorders>
              <w:bottom w:val="single" w:sz="8" w:color="E3E4E5"/>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80" w:type="dxa"/>
            <w:vAlign w:val="bottom"/>
            <w:tcBorders>
              <w:bottom w:val="single" w:sz="8" w:color="E3E4E5"/>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80" w:type="dxa"/>
            <w:vAlign w:val="bottom"/>
            <w:tcBorders>
              <w:bottom w:val="single" w:sz="8" w:color="E3E4E5"/>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E3E4E5"/>
            </w:tcBorders>
            <w:shd w:val="clear" w:color="auto" w:fill="E3E4E5"/>
          </w:tcPr>
          <w:p>
            <w:pPr>
              <w:spacing w:after="0"/>
              <w:rPr>
                <w:sz w:val="23"/>
                <w:szCs w:val="23"/>
                <w:color w:val="auto"/>
              </w:rPr>
            </w:pPr>
          </w:p>
        </w:tc>
        <w:tc>
          <w:tcPr>
            <w:tcW w:w="47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U.S. treasury notes (due within one year)</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35,366</w:t>
            </w:r>
          </w:p>
        </w:tc>
        <w:tc>
          <w:tcPr>
            <w:tcW w:w="80" w:type="dxa"/>
            <w:vAlign w:val="bottom"/>
            <w:tcBorders>
              <w:bottom w:val="single" w:sz="8" w:color="E3E4E5"/>
            </w:tcBorders>
            <w:shd w:val="clear" w:color="auto" w:fill="E3E4E5"/>
          </w:tcPr>
          <w:p>
            <w:pPr>
              <w:spacing w:after="0"/>
              <w:rPr>
                <w:sz w:val="23"/>
                <w:szCs w:val="23"/>
                <w:color w:val="auto"/>
              </w:rPr>
            </w:pPr>
          </w:p>
        </w:tc>
        <w:tc>
          <w:tcPr>
            <w:tcW w:w="2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28</w:t>
            </w:r>
          </w:p>
        </w:tc>
        <w:tc>
          <w:tcPr>
            <w:tcW w:w="80" w:type="dxa"/>
            <w:vAlign w:val="bottom"/>
            <w:tcBorders>
              <w:bottom w:val="single" w:sz="8" w:color="E3E4E5"/>
            </w:tcBorders>
            <w:shd w:val="clear" w:color="auto" w:fill="E3E4E5"/>
          </w:tcPr>
          <w:p>
            <w:pPr>
              <w:spacing w:after="0"/>
              <w:rPr>
                <w:sz w:val="23"/>
                <w:szCs w:val="23"/>
                <w:color w:val="auto"/>
              </w:rPr>
            </w:pPr>
          </w:p>
        </w:tc>
        <w:tc>
          <w:tcPr>
            <w:tcW w:w="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shd w:val="clear" w:color="auto" w:fill="E3E4E5"/>
          </w:tcPr>
          <w:p>
            <w:pPr>
              <w:spacing w:after="0"/>
              <w:rPr>
                <w:sz w:val="23"/>
                <w:szCs w:val="23"/>
                <w:color w:val="auto"/>
              </w:rPr>
            </w:pPr>
          </w:p>
        </w:tc>
        <w:tc>
          <w:tcPr>
            <w:tcW w:w="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35,394</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20"/>
                <w:szCs w:val="20"/>
                <w:color w:val="454546"/>
              </w:rPr>
              <w:t>Commercial paper (due within one year)</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44,959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44,994</w:t>
            </w:r>
          </w:p>
        </w:tc>
        <w:tc>
          <w:tcPr>
            <w:tcW w:w="0" w:type="dxa"/>
            <w:vAlign w:val="bottom"/>
          </w:tcPr>
          <w:p>
            <w:pPr>
              <w:spacing w:after="0"/>
              <w:rPr>
                <w:sz w:val="1"/>
                <w:szCs w:val="1"/>
                <w:color w:val="auto"/>
              </w:rPr>
            </w:pPr>
          </w:p>
        </w:tc>
      </w:tr>
      <w:tr>
        <w:trPr>
          <w:trHeight w:val="287"/>
        </w:trPr>
        <w:tc>
          <w:tcPr>
            <w:tcW w:w="40" w:type="dxa"/>
            <w:vAlign w:val="bottom"/>
            <w:tcBorders>
              <w:bottom w:val="single" w:sz="8" w:color="E3E4E5"/>
            </w:tcBorders>
            <w:shd w:val="clear" w:color="auto" w:fill="E3E4E5"/>
          </w:tcPr>
          <w:p>
            <w:pPr>
              <w:spacing w:after="0"/>
              <w:rPr>
                <w:sz w:val="24"/>
                <w:szCs w:val="24"/>
                <w:color w:val="auto"/>
              </w:rPr>
            </w:pPr>
          </w:p>
        </w:tc>
        <w:tc>
          <w:tcPr>
            <w:tcW w:w="47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Corporate notes and bonds (due within one year)</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100,662</w:t>
            </w:r>
          </w:p>
        </w:tc>
        <w:tc>
          <w:tcPr>
            <w:tcW w:w="8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E3E4E5"/>
            </w:tcBorders>
            <w:shd w:val="clear" w:color="auto" w:fill="E3E4E5"/>
          </w:tcPr>
          <w:p>
            <w:pPr>
              <w:spacing w:after="0"/>
              <w:rPr>
                <w:sz w:val="24"/>
                <w:szCs w:val="24"/>
                <w:color w:val="auto"/>
              </w:rPr>
            </w:pPr>
          </w:p>
        </w:tc>
        <w:tc>
          <w:tcPr>
            <w:tcW w:w="11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112</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100,744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00" w:type="dxa"/>
            <w:vAlign w:val="bottom"/>
          </w:tcPr>
          <w:p>
            <w:pPr>
              <w:spacing w:after="0" w:line="189" w:lineRule="exact"/>
              <w:rPr>
                <w:sz w:val="20"/>
                <w:szCs w:val="20"/>
                <w:color w:val="auto"/>
              </w:rPr>
            </w:pPr>
            <w:r>
              <w:rPr>
                <w:rFonts w:ascii="Times New Roman" w:cs="Times New Roman" w:eastAsia="Times New Roman" w:hAnsi="Times New Roman"/>
                <w:sz w:val="20"/>
                <w:szCs w:val="20"/>
                <w:color w:val="454546"/>
              </w:rPr>
              <w:t>Corporate notes and bonds (due after one year through</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7,171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7,161</w:t>
            </w:r>
          </w:p>
        </w:tc>
        <w:tc>
          <w:tcPr>
            <w:tcW w:w="0" w:type="dxa"/>
            <w:vAlign w:val="bottom"/>
          </w:tcPr>
          <w:p>
            <w:pPr>
              <w:spacing w:after="0"/>
              <w:rPr>
                <w:sz w:val="1"/>
                <w:szCs w:val="1"/>
                <w:color w:val="auto"/>
              </w:rPr>
            </w:pPr>
          </w:p>
        </w:tc>
      </w:tr>
      <w:tr>
        <w:trPr>
          <w:trHeight w:val="257"/>
        </w:trPr>
        <w:tc>
          <w:tcPr>
            <w:tcW w:w="40" w:type="dxa"/>
            <w:vAlign w:val="bottom"/>
            <w:tcBorders>
              <w:bottom w:val="single" w:sz="8" w:color="E3E4E5"/>
            </w:tcBorders>
          </w:tcPr>
          <w:p>
            <w:pPr>
              <w:spacing w:after="0"/>
              <w:rPr>
                <w:sz w:val="22"/>
                <w:szCs w:val="22"/>
                <w:color w:val="auto"/>
              </w:rPr>
            </w:pPr>
          </w:p>
        </w:tc>
        <w:tc>
          <w:tcPr>
            <w:tcW w:w="470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454546"/>
              </w:rPr>
              <w:t>two years)</w:t>
            </w:r>
          </w:p>
        </w:tc>
        <w:tc>
          <w:tcPr>
            <w:tcW w:w="4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vMerge w:val="continue"/>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vMerge w:val="continue"/>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vMerge w:val="continue"/>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E3E4E5"/>
          </w:tcPr>
          <w:p>
            <w:pPr>
              <w:spacing w:after="0"/>
              <w:rPr>
                <w:sz w:val="24"/>
                <w:szCs w:val="24"/>
                <w:color w:val="auto"/>
              </w:rPr>
            </w:pPr>
          </w:p>
        </w:tc>
        <w:tc>
          <w:tcPr>
            <w:tcW w:w="4760" w:type="dxa"/>
            <w:vAlign w:val="bottom"/>
            <w:gridSpan w:val="3"/>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Total</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188,158</w:t>
            </w:r>
          </w:p>
        </w:tc>
        <w:tc>
          <w:tcPr>
            <w:tcW w:w="80" w:type="dxa"/>
            <w:vAlign w:val="bottom"/>
            <w:shd w:val="clear" w:color="auto" w:fill="E3E4E5"/>
          </w:tcPr>
          <w:p>
            <w:pPr>
              <w:spacing w:after="0"/>
              <w:rPr>
                <w:sz w:val="24"/>
                <w:szCs w:val="24"/>
                <w:color w:val="auto"/>
              </w:rPr>
            </w:pPr>
          </w:p>
        </w:tc>
        <w:tc>
          <w:tcPr>
            <w:tcW w:w="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175</w:t>
            </w:r>
          </w:p>
        </w:tc>
        <w:tc>
          <w:tcPr>
            <w:tcW w:w="80" w:type="dxa"/>
            <w:vAlign w:val="bottom"/>
            <w:shd w:val="clear" w:color="auto" w:fill="E3E4E5"/>
          </w:tcPr>
          <w:p>
            <w:pPr>
              <w:spacing w:after="0"/>
              <w:rPr>
                <w:sz w:val="24"/>
                <w:szCs w:val="24"/>
                <w:color w:val="auto"/>
              </w:rPr>
            </w:pP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(40)</w:t>
            </w:r>
          </w:p>
        </w:tc>
        <w:tc>
          <w:tcPr>
            <w:tcW w:w="3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188,293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86</w:t>
      </w:r>
    </w:p>
    <w:p>
      <w:pPr>
        <w:sectPr>
          <w:pgSz w:w="11880" w:h="15480" w:orient="portrait"/>
          <w:cols w:equalWidth="0" w:num="1">
            <w:col w:w="10240"/>
          </w:cols>
          <w:pgMar w:left="820" w:top="504" w:right="820" w:bottom="0" w:gutter="0" w:footer="0" w:header="0"/>
          <w:type w:val="continuous"/>
        </w:sectPr>
      </w:pPr>
    </w:p>
    <w:bookmarkStart w:id="88" w:name="page89"/>
    <w:bookmarkEnd w:id="88"/>
    <w:p>
      <w:pPr>
        <w:ind w:right="220"/>
        <w:spacing w:after="0" w:line="287" w:lineRule="auto"/>
        <w:rPr>
          <w:sz w:val="20"/>
          <w:szCs w:val="20"/>
          <w:color w:val="auto"/>
        </w:rPr>
      </w:pPr>
      <w:r>
        <w:rPr>
          <w:rFonts w:ascii="Times New Roman" w:cs="Times New Roman" w:eastAsia="Times New Roman" w:hAnsi="Times New Roman"/>
          <w:sz w:val="20"/>
          <w:szCs w:val="20"/>
          <w:color w:val="454546"/>
        </w:rPr>
        <w:t>The following tables present the Company’s fair value hierarchy for its assets and liabilities, which are measured at fair value on a recurring basis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454546"/>
                <w:w w:val="98"/>
              </w:rPr>
              <w:t>Fair Value Measurements at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454546"/>
              </w:rPr>
              <w:t>December 31, 2025 Using:</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
        </w:trPr>
        <w:tc>
          <w:tcPr>
            <w:tcW w:w="80" w:type="dxa"/>
            <w:vAlign w:val="bottom"/>
          </w:tcPr>
          <w:p>
            <w:pPr>
              <w:spacing w:after="0"/>
              <w:rPr>
                <w:sz w:val="3"/>
                <w:szCs w:val="3"/>
                <w:color w:val="auto"/>
              </w:rPr>
            </w:pPr>
          </w:p>
        </w:tc>
        <w:tc>
          <w:tcPr>
            <w:tcW w:w="4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10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234"/>
        </w:trPr>
        <w:tc>
          <w:tcPr>
            <w:tcW w:w="80" w:type="dxa"/>
            <w:vAlign w:val="bottom"/>
            <w:tcBorders>
              <w:bottom w:val="single" w:sz="8" w:color="E3E4E5"/>
            </w:tcBorders>
          </w:tcPr>
          <w:p>
            <w:pPr>
              <w:spacing w:after="0"/>
              <w:rPr>
                <w:sz w:val="20"/>
                <w:szCs w:val="20"/>
                <w:color w:val="auto"/>
              </w:rPr>
            </w:pPr>
          </w:p>
        </w:tc>
        <w:tc>
          <w:tcPr>
            <w:tcW w:w="4660" w:type="dxa"/>
            <w:vAlign w:val="bottom"/>
            <w:tcBorders>
              <w:bottom w:val="single" w:sz="8" w:color="E3E4E5"/>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454546"/>
              </w:rPr>
              <w:t>Level 1</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454546"/>
              </w:rPr>
              <w:t>Level 2</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454546"/>
              </w:rPr>
              <w:t>Level 3</w:t>
            </w:r>
          </w:p>
        </w:tc>
        <w:tc>
          <w:tcPr>
            <w:tcW w:w="32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454546"/>
              </w:rPr>
              <w:t>Total</w:t>
            </w:r>
          </w:p>
        </w:tc>
      </w:tr>
      <w:tr>
        <w:trPr>
          <w:trHeight w:val="266"/>
        </w:trPr>
        <w:tc>
          <w:tcPr>
            <w:tcW w:w="80" w:type="dxa"/>
            <w:vAlign w:val="bottom"/>
            <w:tcBorders>
              <w:right w:val="single" w:sz="8" w:color="E3E4E5"/>
            </w:tcBorders>
            <w:shd w:val="clear" w:color="auto" w:fill="E3E4E5"/>
          </w:tcPr>
          <w:p>
            <w:pPr>
              <w:spacing w:after="0"/>
              <w:rPr>
                <w:sz w:val="23"/>
                <w:szCs w:val="23"/>
                <w:color w:val="auto"/>
              </w:rPr>
            </w:pPr>
          </w:p>
        </w:tc>
        <w:tc>
          <w:tcPr>
            <w:tcW w:w="472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280" w:type="dxa"/>
            <w:vAlign w:val="bottom"/>
            <w:shd w:val="clear" w:color="auto" w:fill="E3E4E5"/>
          </w:tcPr>
          <w:p>
            <w:pPr>
              <w:spacing w:after="0"/>
              <w:rPr>
                <w:sz w:val="23"/>
                <w:szCs w:val="23"/>
                <w:color w:val="auto"/>
              </w:rPr>
            </w:pPr>
          </w:p>
        </w:tc>
        <w:tc>
          <w:tcPr>
            <w:tcW w:w="100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10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r>
      <w:tr>
        <w:trPr>
          <w:trHeight w:val="280"/>
        </w:trPr>
        <w:tc>
          <w:tcPr>
            <w:tcW w:w="80" w:type="dxa"/>
            <w:vAlign w:val="bottom"/>
          </w:tcPr>
          <w:p>
            <w:pPr>
              <w:spacing w:after="0"/>
              <w:rPr>
                <w:sz w:val="24"/>
                <w:szCs w:val="24"/>
                <w:color w:val="auto"/>
              </w:rPr>
            </w:pPr>
          </w:p>
        </w:tc>
        <w:tc>
          <w:tcPr>
            <w:tcW w:w="4720" w:type="dxa"/>
            <w:vAlign w:val="bottom"/>
            <w:gridSpan w:val="3"/>
          </w:tcPr>
          <w:p>
            <w:pPr>
              <w:ind w:left="320"/>
              <w:spacing w:after="0"/>
              <w:rPr>
                <w:sz w:val="20"/>
                <w:szCs w:val="20"/>
                <w:color w:val="auto"/>
              </w:rPr>
            </w:pPr>
            <w:r>
              <w:rPr>
                <w:rFonts w:ascii="Times New Roman" w:cs="Times New Roman" w:eastAsia="Times New Roman" w:hAnsi="Times New Roman"/>
                <w:sz w:val="20"/>
                <w:szCs w:val="20"/>
                <w:b w:val="1"/>
                <w:bCs w:val="1"/>
                <w:color w:val="454546"/>
              </w:rPr>
              <w:t>Cash equivalents: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80" w:type="dxa"/>
            <w:vAlign w:val="bottom"/>
            <w:tcBorders>
              <w:bottom w:val="single" w:sz="8" w:color="E3E4E5"/>
              <w:right w:val="single" w:sz="8" w:color="E3E4E5"/>
            </w:tcBorders>
            <w:shd w:val="clear" w:color="auto" w:fill="E3E4E5"/>
          </w:tcPr>
          <w:p>
            <w:pPr>
              <w:spacing w:after="0"/>
              <w:rPr>
                <w:sz w:val="24"/>
                <w:szCs w:val="24"/>
                <w:color w:val="auto"/>
              </w:rPr>
            </w:pPr>
          </w:p>
        </w:tc>
        <w:tc>
          <w:tcPr>
            <w:tcW w:w="4660" w:type="dxa"/>
            <w:vAlign w:val="bottom"/>
            <w:shd w:val="clear" w:color="auto" w:fill="E3E4E5"/>
          </w:tcPr>
          <w:p>
            <w:pPr>
              <w:ind w:left="680"/>
              <w:spacing w:after="0"/>
              <w:rPr>
                <w:sz w:val="20"/>
                <w:szCs w:val="20"/>
                <w:color w:val="auto"/>
              </w:rPr>
            </w:pPr>
            <w:r>
              <w:rPr>
                <w:rFonts w:ascii="Times New Roman" w:cs="Times New Roman" w:eastAsia="Times New Roman" w:hAnsi="Times New Roman"/>
                <w:sz w:val="20"/>
                <w:szCs w:val="20"/>
                <w:color w:val="454546"/>
              </w:rPr>
              <w:t>Money market funds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56,357</w:t>
            </w:r>
          </w:p>
        </w:tc>
        <w:tc>
          <w:tcPr>
            <w:tcW w:w="2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960" w:type="dxa"/>
            <w:vAlign w:val="bottom"/>
            <w:shd w:val="clear" w:color="auto" w:fill="E3E4E5"/>
          </w:tcPr>
          <w:p>
            <w:pPr>
              <w:jc w:val="right"/>
              <w:ind w:right="730"/>
              <w:spacing w:after="0"/>
              <w:rPr>
                <w:sz w:val="20"/>
                <w:szCs w:val="20"/>
                <w:color w:val="auto"/>
              </w:rPr>
            </w:pPr>
            <w:r>
              <w:rPr>
                <w:rFonts w:ascii="Times New Roman" w:cs="Times New Roman" w:eastAsia="Times New Roman" w:hAnsi="Times New Roman"/>
                <w:sz w:val="20"/>
                <w:szCs w:val="20"/>
                <w:color w:val="454546"/>
              </w:rPr>
              <w:t>$</w:t>
            </w:r>
          </w:p>
        </w:tc>
        <w:tc>
          <w:tcPr>
            <w:tcW w:w="32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56,357</w:t>
            </w:r>
          </w:p>
        </w:tc>
        <w:tc>
          <w:tcPr>
            <w:tcW w:w="2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r>
      <w:tr>
        <w:trPr>
          <w:trHeight w:val="257"/>
        </w:trPr>
        <w:tc>
          <w:tcPr>
            <w:tcW w:w="80" w:type="dxa"/>
            <w:vAlign w:val="bottom"/>
          </w:tcPr>
          <w:p>
            <w:pPr>
              <w:spacing w:after="0"/>
              <w:rPr>
                <w:sz w:val="22"/>
                <w:szCs w:val="22"/>
                <w:color w:val="auto"/>
              </w:rPr>
            </w:pPr>
          </w:p>
        </w:tc>
        <w:tc>
          <w:tcPr>
            <w:tcW w:w="4660" w:type="dxa"/>
            <w:vAlign w:val="bottom"/>
          </w:tcPr>
          <w:p>
            <w:pPr>
              <w:ind w:left="680"/>
              <w:spacing w:after="0"/>
              <w:rPr>
                <w:sz w:val="20"/>
                <w:szCs w:val="20"/>
                <w:color w:val="auto"/>
              </w:rPr>
            </w:pPr>
            <w:r>
              <w:rPr>
                <w:rFonts w:ascii="Times New Roman" w:cs="Times New Roman" w:eastAsia="Times New Roman" w:hAnsi="Times New Roman"/>
                <w:sz w:val="20"/>
                <w:szCs w:val="20"/>
                <w:color w:val="454546"/>
              </w:rPr>
              <w:t>Commercial paper</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24,227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24,227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2"/>
        </w:trPr>
        <w:tc>
          <w:tcPr>
            <w:tcW w:w="80" w:type="dxa"/>
            <w:vAlign w:val="bottom"/>
            <w:tcBorders>
              <w:right w:val="single" w:sz="8" w:color="E3E4E5"/>
            </w:tcBorders>
            <w:shd w:val="clear" w:color="auto" w:fill="E3E4E5"/>
          </w:tcPr>
          <w:p>
            <w:pPr>
              <w:spacing w:after="0"/>
              <w:rPr>
                <w:sz w:val="24"/>
                <w:szCs w:val="24"/>
                <w:color w:val="auto"/>
              </w:rPr>
            </w:pPr>
          </w:p>
        </w:tc>
        <w:tc>
          <w:tcPr>
            <w:tcW w:w="4660" w:type="dxa"/>
            <w:vAlign w:val="bottom"/>
            <w:shd w:val="clear" w:color="auto" w:fill="E3E4E5"/>
          </w:tcPr>
          <w:p>
            <w:pPr>
              <w:ind w:left="320"/>
              <w:spacing w:after="0"/>
              <w:rPr>
                <w:sz w:val="20"/>
                <w:szCs w:val="20"/>
                <w:color w:val="auto"/>
              </w:rPr>
            </w:pPr>
            <w:r>
              <w:rPr>
                <w:rFonts w:ascii="Times New Roman" w:cs="Times New Roman" w:eastAsia="Times New Roman" w:hAnsi="Times New Roman"/>
                <w:sz w:val="20"/>
                <w:szCs w:val="20"/>
                <w:b w:val="1"/>
                <w:bCs w:val="1"/>
                <w:color w:val="454546"/>
              </w:rPr>
              <w:t>Marketable securities:</w:t>
            </w:r>
          </w:p>
        </w:tc>
        <w:tc>
          <w:tcPr>
            <w:tcW w:w="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r>
      <w:tr>
        <w:trPr>
          <w:trHeight w:val="278"/>
        </w:trPr>
        <w:tc>
          <w:tcPr>
            <w:tcW w:w="80" w:type="dxa"/>
            <w:vAlign w:val="bottom"/>
          </w:tcPr>
          <w:p>
            <w:pPr>
              <w:spacing w:after="0"/>
              <w:rPr>
                <w:sz w:val="24"/>
                <w:szCs w:val="24"/>
                <w:color w:val="auto"/>
              </w:rPr>
            </w:pPr>
          </w:p>
        </w:tc>
        <w:tc>
          <w:tcPr>
            <w:tcW w:w="472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454546"/>
              </w:rPr>
              <w:t>U.S. government agencies</w:t>
            </w:r>
          </w:p>
        </w:tc>
        <w:tc>
          <w:tcPr>
            <w:tcW w:w="28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80" w:type="dxa"/>
            <w:vAlign w:val="bottom"/>
            <w:tcBorders>
              <w:right w:val="single" w:sz="8" w:color="E3E4E5"/>
            </w:tcBorders>
            <w:shd w:val="clear" w:color="auto" w:fill="E3E4E5"/>
          </w:tcPr>
          <w:p>
            <w:pPr>
              <w:spacing w:after="0"/>
              <w:rPr>
                <w:sz w:val="24"/>
                <w:szCs w:val="24"/>
                <w:color w:val="auto"/>
              </w:rPr>
            </w:pPr>
          </w:p>
        </w:tc>
        <w:tc>
          <w:tcPr>
            <w:tcW w:w="4720" w:type="dxa"/>
            <w:vAlign w:val="bottom"/>
            <w:gridSpan w:val="3"/>
            <w:shd w:val="clear" w:color="auto" w:fill="E3E4E5"/>
          </w:tcPr>
          <w:p>
            <w:pPr>
              <w:ind w:left="680"/>
              <w:spacing w:after="0"/>
              <w:rPr>
                <w:sz w:val="20"/>
                <w:szCs w:val="20"/>
                <w:color w:val="auto"/>
              </w:rPr>
            </w:pPr>
            <w:r>
              <w:rPr>
                <w:rFonts w:ascii="Times New Roman" w:cs="Times New Roman" w:eastAsia="Times New Roman" w:hAnsi="Times New Roman"/>
                <w:sz w:val="20"/>
                <w:szCs w:val="20"/>
                <w:color w:val="454546"/>
              </w:rPr>
              <w:t>Commercial paper</w:t>
            </w:r>
          </w:p>
        </w:tc>
        <w:tc>
          <w:tcPr>
            <w:tcW w:w="280" w:type="dxa"/>
            <w:vAlign w:val="bottom"/>
            <w:shd w:val="clear" w:color="auto" w:fill="E3E4E5"/>
          </w:tcPr>
          <w:p>
            <w:pPr>
              <w:spacing w:after="0"/>
              <w:rPr>
                <w:sz w:val="24"/>
                <w:szCs w:val="24"/>
                <w:color w:val="auto"/>
              </w:rPr>
            </w:pPr>
          </w:p>
        </w:tc>
        <w:tc>
          <w:tcPr>
            <w:tcW w:w="102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35,287</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340" w:type="dxa"/>
            <w:vAlign w:val="bottom"/>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35,287</w:t>
            </w:r>
          </w:p>
        </w:tc>
        <w:tc>
          <w:tcPr>
            <w:tcW w:w="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r>
      <w:tr>
        <w:trPr>
          <w:trHeight w:val="282"/>
        </w:trPr>
        <w:tc>
          <w:tcPr>
            <w:tcW w:w="80" w:type="dxa"/>
            <w:vAlign w:val="bottom"/>
            <w:tcBorders>
              <w:bottom w:val="single" w:sz="8" w:color="E3E4E5"/>
            </w:tcBorders>
          </w:tcPr>
          <w:p>
            <w:pPr>
              <w:spacing w:after="0"/>
              <w:rPr>
                <w:sz w:val="24"/>
                <w:szCs w:val="24"/>
                <w:color w:val="auto"/>
              </w:rPr>
            </w:pPr>
          </w:p>
        </w:tc>
        <w:tc>
          <w:tcPr>
            <w:tcW w:w="4700" w:type="dxa"/>
            <w:vAlign w:val="bottom"/>
            <w:tcBorders>
              <w:bottom w:val="single" w:sz="8" w:color="E3E4E5"/>
            </w:tcBorders>
            <w:gridSpan w:val="2"/>
          </w:tcPr>
          <w:p>
            <w:pPr>
              <w:ind w:left="680"/>
              <w:spacing w:after="0"/>
              <w:rPr>
                <w:sz w:val="20"/>
                <w:szCs w:val="20"/>
                <w:color w:val="auto"/>
              </w:rPr>
            </w:pPr>
            <w:r>
              <w:rPr>
                <w:rFonts w:ascii="Times New Roman" w:cs="Times New Roman" w:eastAsia="Times New Roman" w:hAnsi="Times New Roman"/>
                <w:sz w:val="20"/>
                <w:szCs w:val="20"/>
                <w:color w:val="454546"/>
              </w:rPr>
              <w:t>Corporate notes and bonds</w:t>
            </w:r>
          </w:p>
        </w:tc>
        <w:tc>
          <w:tcPr>
            <w:tcW w:w="2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41,231</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960" w:type="dxa"/>
            <w:vAlign w:val="bottom"/>
            <w:tcBorders>
              <w:bottom w:val="single" w:sz="8" w:color="231F20"/>
            </w:tcBorders>
          </w:tcPr>
          <w:p>
            <w:pPr>
              <w:spacing w:after="0"/>
              <w:rPr>
                <w:sz w:val="24"/>
                <w:szCs w:val="24"/>
                <w:color w:val="auto"/>
              </w:rPr>
            </w:pPr>
          </w:p>
        </w:tc>
        <w:tc>
          <w:tcPr>
            <w:tcW w:w="34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20"/>
                <w:szCs w:val="20"/>
                <w:color w:val="454546"/>
              </w:rPr>
              <w:t>—</w:t>
            </w:r>
          </w:p>
        </w:tc>
        <w:tc>
          <w:tcPr>
            <w:tcW w:w="80" w:type="dxa"/>
            <w:vAlign w:val="bottom"/>
            <w:tcBorders>
              <w:bottom w:val="single" w:sz="8" w:color="E3E4E5"/>
            </w:tcBorders>
            <w:gridSpan w:val="2"/>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41,231</w:t>
            </w:r>
          </w:p>
        </w:tc>
        <w:tc>
          <w:tcPr>
            <w:tcW w:w="2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r>
      <w:tr>
        <w:trPr>
          <w:trHeight w:val="268"/>
        </w:trPr>
        <w:tc>
          <w:tcPr>
            <w:tcW w:w="80" w:type="dxa"/>
            <w:vAlign w:val="bottom"/>
            <w:tcBorders>
              <w:right w:val="single" w:sz="8" w:color="E3E4E5"/>
            </w:tcBorders>
            <w:shd w:val="clear" w:color="auto" w:fill="E3E4E5"/>
          </w:tcPr>
          <w:p>
            <w:pPr>
              <w:spacing w:after="0"/>
              <w:rPr>
                <w:sz w:val="23"/>
                <w:szCs w:val="23"/>
                <w:color w:val="auto"/>
              </w:rPr>
            </w:pPr>
          </w:p>
        </w:tc>
        <w:tc>
          <w:tcPr>
            <w:tcW w:w="472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color w:val="454546"/>
              </w:rPr>
              <w:t>Total</w:t>
            </w:r>
          </w:p>
        </w:tc>
        <w:tc>
          <w:tcPr>
            <w:tcW w:w="2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56,357</w:t>
            </w: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102,245</w:t>
            </w: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960" w:type="dxa"/>
            <w:vAlign w:val="bottom"/>
            <w:shd w:val="clear" w:color="auto" w:fill="E3E4E5"/>
          </w:tcPr>
          <w:p>
            <w:pPr>
              <w:jc w:val="right"/>
              <w:ind w:right="730"/>
              <w:spacing w:after="0"/>
              <w:rPr>
                <w:sz w:val="20"/>
                <w:szCs w:val="20"/>
                <w:color w:val="auto"/>
              </w:rPr>
            </w:pPr>
            <w:r>
              <w:rPr>
                <w:rFonts w:ascii="Times New Roman" w:cs="Times New Roman" w:eastAsia="Times New Roman" w:hAnsi="Times New Roman"/>
                <w:sz w:val="20"/>
                <w:szCs w:val="20"/>
                <w:color w:val="454546"/>
              </w:rPr>
              <w:t>$</w:t>
            </w:r>
          </w:p>
        </w:tc>
        <w:tc>
          <w:tcPr>
            <w:tcW w:w="340" w:type="dxa"/>
            <w:vAlign w:val="bottom"/>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158,602</w:t>
            </w:r>
          </w:p>
        </w:tc>
        <w:tc>
          <w:tcPr>
            <w:tcW w:w="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r>
      <w:tr>
        <w:trPr>
          <w:trHeight w:val="499"/>
        </w:trPr>
        <w:tc>
          <w:tcPr>
            <w:tcW w:w="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Fair Value Measurements at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454546"/>
              </w:rPr>
              <w:t>December 31, 2024 Using:</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
        </w:trPr>
        <w:tc>
          <w:tcPr>
            <w:tcW w:w="80" w:type="dxa"/>
            <w:vAlign w:val="bottom"/>
          </w:tcPr>
          <w:p>
            <w:pPr>
              <w:spacing w:after="0"/>
              <w:rPr>
                <w:sz w:val="3"/>
                <w:szCs w:val="3"/>
                <w:color w:val="auto"/>
              </w:rPr>
            </w:pPr>
          </w:p>
        </w:tc>
        <w:tc>
          <w:tcPr>
            <w:tcW w:w="4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gridSpan w:val="2"/>
          </w:tcPr>
          <w:p>
            <w:pPr>
              <w:spacing w:after="0"/>
              <w:rPr>
                <w:sz w:val="3"/>
                <w:szCs w:val="3"/>
                <w:color w:val="auto"/>
              </w:rPr>
            </w:pPr>
          </w:p>
        </w:tc>
      </w:tr>
      <w:tr>
        <w:trPr>
          <w:trHeight w:val="234"/>
        </w:trPr>
        <w:tc>
          <w:tcPr>
            <w:tcW w:w="80" w:type="dxa"/>
            <w:vAlign w:val="bottom"/>
          </w:tcPr>
          <w:p>
            <w:pPr>
              <w:spacing w:after="0"/>
              <w:rPr>
                <w:sz w:val="20"/>
                <w:szCs w:val="20"/>
                <w:color w:val="auto"/>
              </w:rPr>
            </w:pPr>
          </w:p>
        </w:tc>
        <w:tc>
          <w:tcPr>
            <w:tcW w:w="4660" w:type="dxa"/>
            <w:vAlign w:val="bottom"/>
            <w:tcBorders>
              <w:bottom w:val="single" w:sz="8" w:color="E3E4E5"/>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454546"/>
              </w:rPr>
              <w:t>Level 1</w:t>
            </w:r>
          </w:p>
        </w:tc>
        <w:tc>
          <w:tcPr>
            <w:tcW w:w="60" w:type="dxa"/>
            <w:vAlign w:val="bottom"/>
            <w:tcBorders>
              <w:top w:val="single" w:sz="8" w:color="231F20"/>
              <w:bottom w:val="single" w:sz="8" w:color="E3E4E5"/>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1040" w:type="dxa"/>
            <w:vAlign w:val="bottom"/>
            <w:tcBorders>
              <w:top w:val="single" w:sz="8" w:color="231F20"/>
              <w:bottom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454546"/>
              </w:rPr>
              <w:t>Level 2</w:t>
            </w:r>
          </w:p>
        </w:tc>
        <w:tc>
          <w:tcPr>
            <w:tcW w:w="60" w:type="dxa"/>
            <w:vAlign w:val="bottom"/>
            <w:tcBorders>
              <w:top w:val="single" w:sz="8" w:color="231F20"/>
              <w:bottom w:val="single" w:sz="8" w:color="E3E4E5"/>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454546"/>
              </w:rPr>
              <w:t>Level 3</w:t>
            </w:r>
          </w:p>
        </w:tc>
        <w:tc>
          <w:tcPr>
            <w:tcW w:w="320" w:type="dxa"/>
            <w:vAlign w:val="bottom"/>
            <w:tcBorders>
              <w:top w:val="single" w:sz="8" w:color="231F20"/>
              <w:bottom w:val="single" w:sz="8" w:color="231F20"/>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60" w:type="dxa"/>
            <w:vAlign w:val="bottom"/>
            <w:tcBorders>
              <w:top w:val="single" w:sz="8" w:color="231F20"/>
              <w:bottom w:val="single" w:sz="8" w:color="E3E4E5"/>
            </w:tcBorders>
          </w:tcPr>
          <w:p>
            <w:pPr>
              <w:spacing w:after="0"/>
              <w:rPr>
                <w:sz w:val="20"/>
                <w:szCs w:val="20"/>
                <w:color w:val="auto"/>
              </w:rPr>
            </w:pPr>
          </w:p>
        </w:tc>
        <w:tc>
          <w:tcPr>
            <w:tcW w:w="20" w:type="dxa"/>
            <w:vAlign w:val="bottom"/>
            <w:tcBorders>
              <w:top w:val="single" w:sz="8" w:color="231F20"/>
              <w:bottom w:val="single" w:sz="8" w:color="231F20"/>
            </w:tcBorders>
          </w:tcPr>
          <w:p>
            <w:pPr>
              <w:spacing w:after="0"/>
              <w:rPr>
                <w:sz w:val="20"/>
                <w:szCs w:val="20"/>
                <w:color w:val="auto"/>
              </w:rPr>
            </w:pPr>
          </w:p>
        </w:tc>
        <w:tc>
          <w:tcPr>
            <w:tcW w:w="300" w:type="dxa"/>
            <w:vAlign w:val="bottom"/>
            <w:tcBorders>
              <w:top w:val="single" w:sz="8" w:color="231F20"/>
              <w:bottom w:val="single" w:sz="8" w:color="231F20"/>
            </w:tcBorders>
          </w:tcPr>
          <w:p>
            <w:pPr>
              <w:spacing w:after="0"/>
              <w:rPr>
                <w:sz w:val="20"/>
                <w:szCs w:val="20"/>
                <w:color w:val="auto"/>
              </w:rPr>
            </w:pPr>
          </w:p>
        </w:tc>
        <w:tc>
          <w:tcPr>
            <w:tcW w:w="1000" w:type="dxa"/>
            <w:vAlign w:val="bottom"/>
            <w:tcBorders>
              <w:top w:val="single" w:sz="8" w:color="231F20"/>
              <w:bottom w:val="single" w:sz="8" w:color="231F20"/>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454546"/>
              </w:rPr>
              <w:t>Total</w:t>
            </w:r>
          </w:p>
        </w:tc>
        <w:tc>
          <w:tcPr>
            <w:tcW w:w="20" w:type="dxa"/>
            <w:vAlign w:val="bottom"/>
          </w:tcPr>
          <w:p>
            <w:pPr>
              <w:spacing w:after="0"/>
              <w:rPr>
                <w:sz w:val="20"/>
                <w:szCs w:val="20"/>
                <w:color w:val="auto"/>
              </w:rPr>
            </w:pPr>
          </w:p>
        </w:tc>
      </w:tr>
      <w:tr>
        <w:trPr>
          <w:trHeight w:val="266"/>
        </w:trPr>
        <w:tc>
          <w:tcPr>
            <w:tcW w:w="80" w:type="dxa"/>
            <w:vAlign w:val="bottom"/>
            <w:tcBorders>
              <w:right w:val="single" w:sz="8" w:color="E3E4E5"/>
            </w:tcBorders>
          </w:tcPr>
          <w:p>
            <w:pPr>
              <w:spacing w:after="0"/>
              <w:rPr>
                <w:sz w:val="23"/>
                <w:szCs w:val="23"/>
                <w:color w:val="auto"/>
              </w:rPr>
            </w:pPr>
          </w:p>
        </w:tc>
        <w:tc>
          <w:tcPr>
            <w:tcW w:w="4720" w:type="dxa"/>
            <w:vAlign w:val="bottom"/>
            <w:gridSpan w:val="3"/>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54546"/>
              </w:rPr>
              <w:t>Assets:</w:t>
            </w:r>
          </w:p>
        </w:tc>
        <w:tc>
          <w:tcPr>
            <w:tcW w:w="280" w:type="dxa"/>
            <w:vAlign w:val="bottom"/>
            <w:shd w:val="clear" w:color="auto" w:fill="E3E4E5"/>
          </w:tcPr>
          <w:p>
            <w:pPr>
              <w:spacing w:after="0"/>
              <w:rPr>
                <w:sz w:val="23"/>
                <w:szCs w:val="23"/>
                <w:color w:val="auto"/>
              </w:rPr>
            </w:pPr>
          </w:p>
        </w:tc>
        <w:tc>
          <w:tcPr>
            <w:tcW w:w="100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10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0"/>
        </w:trPr>
        <w:tc>
          <w:tcPr>
            <w:tcW w:w="80" w:type="dxa"/>
            <w:vAlign w:val="bottom"/>
          </w:tcPr>
          <w:p>
            <w:pPr>
              <w:spacing w:after="0"/>
              <w:rPr>
                <w:sz w:val="24"/>
                <w:szCs w:val="24"/>
                <w:color w:val="auto"/>
              </w:rPr>
            </w:pPr>
          </w:p>
        </w:tc>
        <w:tc>
          <w:tcPr>
            <w:tcW w:w="4720" w:type="dxa"/>
            <w:vAlign w:val="bottom"/>
            <w:gridSpan w:val="3"/>
          </w:tcPr>
          <w:p>
            <w:pPr>
              <w:ind w:left="360"/>
              <w:spacing w:after="0"/>
              <w:rPr>
                <w:sz w:val="20"/>
                <w:szCs w:val="20"/>
                <w:color w:val="auto"/>
              </w:rPr>
            </w:pPr>
            <w:r>
              <w:rPr>
                <w:rFonts w:ascii="Times New Roman" w:cs="Times New Roman" w:eastAsia="Times New Roman" w:hAnsi="Times New Roman"/>
                <w:sz w:val="20"/>
                <w:szCs w:val="20"/>
                <w:b w:val="1"/>
                <w:bCs w:val="1"/>
                <w:color w:val="454546"/>
              </w:rPr>
              <w:t>Cash equivalents: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80" w:type="dxa"/>
            <w:vAlign w:val="bottom"/>
            <w:tcBorders>
              <w:right w:val="single" w:sz="8" w:color="E3E4E5"/>
            </w:tcBorders>
          </w:tcPr>
          <w:p>
            <w:pPr>
              <w:spacing w:after="0"/>
              <w:rPr>
                <w:sz w:val="24"/>
                <w:szCs w:val="24"/>
                <w:color w:val="auto"/>
              </w:rPr>
            </w:pPr>
          </w:p>
        </w:tc>
        <w:tc>
          <w:tcPr>
            <w:tcW w:w="4720" w:type="dxa"/>
            <w:vAlign w:val="bottom"/>
            <w:tcBorders>
              <w:bottom w:val="single" w:sz="8" w:color="E3E4E5"/>
            </w:tcBorders>
            <w:gridSpan w:val="3"/>
            <w:shd w:val="clear" w:color="auto" w:fill="E3E4E5"/>
          </w:tcPr>
          <w:p>
            <w:pPr>
              <w:ind w:left="620"/>
              <w:spacing w:after="0"/>
              <w:rPr>
                <w:sz w:val="20"/>
                <w:szCs w:val="20"/>
                <w:color w:val="auto"/>
              </w:rPr>
            </w:pPr>
            <w:r>
              <w:rPr>
                <w:rFonts w:ascii="Times New Roman" w:cs="Times New Roman" w:eastAsia="Times New Roman" w:hAnsi="Times New Roman"/>
                <w:sz w:val="20"/>
                <w:szCs w:val="20"/>
                <w:color w:val="454546"/>
              </w:rPr>
              <w:t>Money market funds</w:t>
            </w:r>
          </w:p>
        </w:tc>
        <w:tc>
          <w:tcPr>
            <w:tcW w:w="28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28,027</w:t>
            </w:r>
          </w:p>
        </w:tc>
        <w:tc>
          <w:tcPr>
            <w:tcW w:w="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E3E4E5"/>
            </w:tcBorders>
            <w:gridSpan w:val="3"/>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E3E4E5"/>
            </w:tcBorders>
            <w:shd w:val="clear" w:color="auto" w:fill="E3E4E5"/>
          </w:tcPr>
          <w:p>
            <w:pPr>
              <w:spacing w:after="0"/>
              <w:rPr>
                <w:sz w:val="24"/>
                <w:szCs w:val="24"/>
                <w:color w:val="auto"/>
              </w:rPr>
            </w:pPr>
          </w:p>
        </w:tc>
        <w:tc>
          <w:tcPr>
            <w:tcW w:w="1040" w:type="dxa"/>
            <w:vAlign w:val="bottom"/>
            <w:tcBorders>
              <w:bottom w:val="single" w:sz="8" w:color="E3E4E5"/>
            </w:tcBorders>
            <w:gridSpan w:val="3"/>
            <w:shd w:val="clear" w:color="auto" w:fill="E3E4E5"/>
          </w:tcPr>
          <w:p>
            <w:pPr>
              <w:jc w:val="right"/>
              <w:ind w:right="750"/>
              <w:spacing w:after="0"/>
              <w:rPr>
                <w:sz w:val="20"/>
                <w:szCs w:val="20"/>
                <w:color w:val="auto"/>
              </w:rPr>
            </w:pPr>
            <w:r>
              <w:rPr>
                <w:rFonts w:ascii="Times New Roman" w:cs="Times New Roman" w:eastAsia="Times New Roman" w:hAnsi="Times New Roman"/>
                <w:sz w:val="20"/>
                <w:szCs w:val="20"/>
                <w:color w:val="454546"/>
              </w:rPr>
              <w:t>$</w:t>
            </w:r>
          </w:p>
        </w:tc>
        <w:tc>
          <w:tcPr>
            <w:tcW w:w="32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gridSpan w:val="2"/>
            <w:shd w:val="clear" w:color="auto" w:fill="E3E4E5"/>
          </w:tcPr>
          <w:p>
            <w:pPr>
              <w:spacing w:after="0"/>
              <w:rPr>
                <w:sz w:val="24"/>
                <w:szCs w:val="24"/>
                <w:color w:val="auto"/>
              </w:rPr>
            </w:pPr>
          </w:p>
        </w:tc>
        <w:tc>
          <w:tcPr>
            <w:tcW w:w="300" w:type="dxa"/>
            <w:vAlign w:val="bottom"/>
            <w:tcBorders>
              <w:bottom w:val="single" w:sz="8" w:color="E3E4E5"/>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w w:val="99"/>
              </w:rPr>
              <w:t>$</w:t>
            </w: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28,027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4720" w:type="dxa"/>
            <w:vAlign w:val="bottom"/>
            <w:gridSpan w:val="3"/>
          </w:tcPr>
          <w:p>
            <w:pPr>
              <w:ind w:left="620"/>
              <w:spacing w:after="0"/>
              <w:rPr>
                <w:sz w:val="20"/>
                <w:szCs w:val="20"/>
                <w:color w:val="auto"/>
              </w:rPr>
            </w:pPr>
            <w:r>
              <w:rPr>
                <w:rFonts w:ascii="Times New Roman" w:cs="Times New Roman" w:eastAsia="Times New Roman" w:hAnsi="Times New Roman"/>
                <w:sz w:val="20"/>
                <w:szCs w:val="20"/>
                <w:color w:val="454546"/>
              </w:rPr>
              <w:t>U.S. treasury notes</w:t>
            </w:r>
          </w:p>
        </w:tc>
        <w:tc>
          <w:tcPr>
            <w:tcW w:w="2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14,500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80" w:type="dxa"/>
            <w:vAlign w:val="bottom"/>
            <w:tcBorders>
              <w:right w:val="single" w:sz="8" w:color="E3E4E5"/>
            </w:tcBorders>
          </w:tcPr>
          <w:p>
            <w:pPr>
              <w:spacing w:after="0"/>
              <w:rPr>
                <w:sz w:val="24"/>
                <w:szCs w:val="24"/>
                <w:color w:val="auto"/>
              </w:rPr>
            </w:pPr>
          </w:p>
        </w:tc>
        <w:tc>
          <w:tcPr>
            <w:tcW w:w="4720" w:type="dxa"/>
            <w:vAlign w:val="bottom"/>
            <w:gridSpan w:val="3"/>
            <w:shd w:val="clear" w:color="auto" w:fill="E3E4E5"/>
          </w:tcPr>
          <w:p>
            <w:pPr>
              <w:ind w:left="620"/>
              <w:spacing w:after="0"/>
              <w:rPr>
                <w:sz w:val="20"/>
                <w:szCs w:val="20"/>
                <w:color w:val="auto"/>
              </w:rPr>
            </w:pPr>
            <w:r>
              <w:rPr>
                <w:rFonts w:ascii="Times New Roman" w:cs="Times New Roman" w:eastAsia="Times New Roman" w:hAnsi="Times New Roman"/>
                <w:sz w:val="20"/>
                <w:szCs w:val="20"/>
                <w:color w:val="454546"/>
              </w:rPr>
              <w:t>Commercial paper</w:t>
            </w:r>
          </w:p>
        </w:tc>
        <w:tc>
          <w:tcPr>
            <w:tcW w:w="28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2,748</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80" w:type="dxa"/>
            <w:vAlign w:val="bottom"/>
            <w:gridSpan w:val="2"/>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2,748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0" w:type="dxa"/>
            <w:vAlign w:val="bottom"/>
          </w:tcPr>
          <w:p>
            <w:pPr>
              <w:spacing w:after="0"/>
              <w:rPr>
                <w:sz w:val="24"/>
                <w:szCs w:val="24"/>
                <w:color w:val="auto"/>
              </w:rPr>
            </w:pPr>
          </w:p>
        </w:tc>
        <w:tc>
          <w:tcPr>
            <w:tcW w:w="4720" w:type="dxa"/>
            <w:vAlign w:val="bottom"/>
            <w:gridSpan w:val="3"/>
          </w:tcPr>
          <w:p>
            <w:pPr>
              <w:ind w:left="360"/>
              <w:spacing w:after="0"/>
              <w:rPr>
                <w:sz w:val="20"/>
                <w:szCs w:val="20"/>
                <w:color w:val="auto"/>
              </w:rPr>
            </w:pPr>
            <w:r>
              <w:rPr>
                <w:rFonts w:ascii="Times New Roman" w:cs="Times New Roman" w:eastAsia="Times New Roman" w:hAnsi="Times New Roman"/>
                <w:sz w:val="20"/>
                <w:szCs w:val="20"/>
                <w:b w:val="1"/>
                <w:bCs w:val="1"/>
                <w:color w:val="454546"/>
              </w:rPr>
              <w:t>Marketable securities: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80" w:type="dxa"/>
            <w:vAlign w:val="bottom"/>
            <w:tcBorders>
              <w:right w:val="single" w:sz="8" w:color="E3E4E5"/>
            </w:tcBorders>
          </w:tcPr>
          <w:p>
            <w:pPr>
              <w:spacing w:after="0"/>
              <w:rPr>
                <w:sz w:val="24"/>
                <w:szCs w:val="24"/>
                <w:color w:val="auto"/>
              </w:rPr>
            </w:pPr>
          </w:p>
        </w:tc>
        <w:tc>
          <w:tcPr>
            <w:tcW w:w="4700" w:type="dxa"/>
            <w:vAlign w:val="bottom"/>
            <w:gridSpan w:val="2"/>
            <w:shd w:val="clear" w:color="auto" w:fill="E3E4E5"/>
          </w:tcPr>
          <w:p>
            <w:pPr>
              <w:ind w:left="620"/>
              <w:spacing w:after="0"/>
              <w:rPr>
                <w:sz w:val="20"/>
                <w:szCs w:val="20"/>
                <w:color w:val="auto"/>
              </w:rPr>
            </w:pPr>
            <w:r>
              <w:rPr>
                <w:rFonts w:ascii="Times New Roman" w:cs="Times New Roman" w:eastAsia="Times New Roman" w:hAnsi="Times New Roman"/>
                <w:sz w:val="20"/>
                <w:szCs w:val="20"/>
                <w:color w:val="454546"/>
              </w:rPr>
              <w:t>U.S. treasury notes</w:t>
            </w:r>
          </w:p>
        </w:tc>
        <w:tc>
          <w:tcPr>
            <w:tcW w:w="2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35,394</w:t>
            </w: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3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shd w:val="clear" w:color="auto" w:fill="E3E4E5"/>
          </w:tcPr>
          <w:p>
            <w:pPr>
              <w:spacing w:after="0"/>
              <w:rPr>
                <w:sz w:val="24"/>
                <w:szCs w:val="24"/>
                <w:color w:val="auto"/>
              </w:rPr>
            </w:pPr>
          </w:p>
        </w:tc>
        <w:tc>
          <w:tcPr>
            <w:tcW w:w="80" w:type="dxa"/>
            <w:vAlign w:val="bottom"/>
            <w:gridSpan w:val="2"/>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35,394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80" w:type="dxa"/>
            <w:vAlign w:val="bottom"/>
          </w:tcPr>
          <w:p>
            <w:pPr>
              <w:spacing w:after="0"/>
              <w:rPr>
                <w:sz w:val="24"/>
                <w:szCs w:val="24"/>
                <w:color w:val="auto"/>
              </w:rPr>
            </w:pPr>
          </w:p>
        </w:tc>
        <w:tc>
          <w:tcPr>
            <w:tcW w:w="4720" w:type="dxa"/>
            <w:vAlign w:val="bottom"/>
            <w:gridSpan w:val="3"/>
          </w:tcPr>
          <w:p>
            <w:pPr>
              <w:ind w:left="620"/>
              <w:spacing w:after="0"/>
              <w:rPr>
                <w:sz w:val="20"/>
                <w:szCs w:val="20"/>
                <w:color w:val="auto"/>
              </w:rPr>
            </w:pPr>
            <w:r>
              <w:rPr>
                <w:rFonts w:ascii="Times New Roman" w:cs="Times New Roman" w:eastAsia="Times New Roman" w:hAnsi="Times New Roman"/>
                <w:sz w:val="20"/>
                <w:szCs w:val="20"/>
                <w:color w:val="454546"/>
              </w:rPr>
              <w:t>Commercial paper</w:t>
            </w:r>
          </w:p>
        </w:tc>
        <w:tc>
          <w:tcPr>
            <w:tcW w:w="28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44,994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44,994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80" w:type="dxa"/>
            <w:vAlign w:val="bottom"/>
            <w:tcBorders>
              <w:right w:val="single" w:sz="8" w:color="E3E4E5"/>
            </w:tcBorders>
          </w:tcPr>
          <w:p>
            <w:pPr>
              <w:spacing w:after="0"/>
              <w:rPr>
                <w:sz w:val="24"/>
                <w:szCs w:val="24"/>
                <w:color w:val="auto"/>
              </w:rPr>
            </w:pPr>
          </w:p>
        </w:tc>
        <w:tc>
          <w:tcPr>
            <w:tcW w:w="4700" w:type="dxa"/>
            <w:vAlign w:val="bottom"/>
            <w:gridSpan w:val="2"/>
            <w:shd w:val="clear" w:color="auto" w:fill="E3E4E5"/>
          </w:tcPr>
          <w:p>
            <w:pPr>
              <w:ind w:left="620"/>
              <w:spacing w:after="0"/>
              <w:rPr>
                <w:sz w:val="20"/>
                <w:szCs w:val="20"/>
                <w:color w:val="auto"/>
              </w:rPr>
            </w:pPr>
            <w:r>
              <w:rPr>
                <w:rFonts w:ascii="Times New Roman" w:cs="Times New Roman" w:eastAsia="Times New Roman" w:hAnsi="Times New Roman"/>
                <w:sz w:val="20"/>
                <w:szCs w:val="20"/>
                <w:color w:val="454546"/>
              </w:rPr>
              <w:t>Corporate notes and bonds</w:t>
            </w:r>
          </w:p>
        </w:tc>
        <w:tc>
          <w:tcPr>
            <w:tcW w:w="20" w:type="dxa"/>
            <w:vAlign w:val="bottom"/>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tcBorders>
              <w:bottom w:val="single" w:sz="8" w:color="231F20"/>
            </w:tcBorders>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10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107,905</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tcBorders>
              <w:bottom w:val="single" w:sz="8" w:color="231F20"/>
            </w:tcBorders>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231F20"/>
            </w:tcBorders>
            <w:gridSpan w:val="2"/>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107,905</w:t>
            </w:r>
          </w:p>
        </w:tc>
        <w:tc>
          <w:tcPr>
            <w:tcW w:w="2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8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Total</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28,027</w:t>
            </w:r>
          </w:p>
        </w:tc>
        <w:tc>
          <w:tcPr>
            <w:tcW w:w="2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205,541</w:t>
            </w:r>
          </w:p>
        </w:tc>
        <w:tc>
          <w:tcPr>
            <w:tcW w:w="20" w:type="dxa"/>
            <w:vAlign w:val="bottom"/>
          </w:tcPr>
          <w:p>
            <w:pPr>
              <w:spacing w:after="0"/>
              <w:rPr>
                <w:sz w:val="24"/>
                <w:szCs w:val="24"/>
                <w:color w:val="auto"/>
              </w:rPr>
            </w:pPr>
          </w:p>
        </w:tc>
        <w:tc>
          <w:tcPr>
            <w:tcW w:w="1040" w:type="dxa"/>
            <w:vAlign w:val="bottom"/>
            <w:gridSpan w:val="3"/>
          </w:tcPr>
          <w:p>
            <w:pPr>
              <w:jc w:val="right"/>
              <w:ind w:right="750"/>
              <w:spacing w:after="0"/>
              <w:rPr>
                <w:sz w:val="20"/>
                <w:szCs w:val="20"/>
                <w:color w:val="auto"/>
              </w:rPr>
            </w:pPr>
            <w:r>
              <w:rPr>
                <w:rFonts w:ascii="Times New Roman" w:cs="Times New Roman" w:eastAsia="Times New Roman" w:hAnsi="Times New Roman"/>
                <w:sz w:val="20"/>
                <w:szCs w:val="20"/>
                <w:color w:val="454546"/>
              </w:rPr>
              <w:t>$</w:t>
            </w:r>
          </w:p>
        </w:tc>
        <w:tc>
          <w:tcPr>
            <w:tcW w:w="4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454546"/>
              </w:rPr>
              <w: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454546"/>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233,568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For the years ended December 31, 2025 and 2024, there were no transfers between Level 1, Level 2 and Level 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4. Property and Equipment, Net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Property and equipment, net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40" w:type="dxa"/>
            <w:vAlign w:val="bottom"/>
          </w:tcPr>
          <w:p>
            <w:pPr>
              <w:spacing w:after="0"/>
              <w:rPr>
                <w:sz w:val="19"/>
                <w:szCs w:val="19"/>
                <w:color w:val="auto"/>
              </w:rPr>
            </w:pPr>
          </w:p>
        </w:tc>
      </w:tr>
      <w:tr>
        <w:trPr>
          <w:trHeight w:val="22"/>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r>
        <w:trPr>
          <w:trHeight w:val="235"/>
        </w:trPr>
        <w:tc>
          <w:tcPr>
            <w:tcW w:w="75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454546"/>
                <w:w w:val="99"/>
              </w:rPr>
              <w:t>2024</w:t>
            </w:r>
          </w:p>
        </w:tc>
      </w:tr>
      <w:tr>
        <w:trPr>
          <w:trHeight w:val="280"/>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Laboratory equipment</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8,035</w:t>
            </w:r>
          </w:p>
        </w:tc>
        <w:tc>
          <w:tcPr>
            <w:tcW w:w="60" w:type="dxa"/>
            <w:vAlign w:val="bottom"/>
            <w:shd w:val="clear" w:color="auto" w:fill="E3E4E5"/>
          </w:tcPr>
          <w:p>
            <w:pPr>
              <w:spacing w:after="0"/>
              <w:rPr>
                <w:sz w:val="24"/>
                <w:szCs w:val="24"/>
                <w:color w:val="auto"/>
              </w:rPr>
            </w:pPr>
          </w:p>
        </w:tc>
        <w:tc>
          <w:tcPr>
            <w:tcW w:w="480" w:type="dxa"/>
            <w:vAlign w:val="bottom"/>
            <w:gridSpan w:val="2"/>
            <w:shd w:val="clear" w:color="auto" w:fill="E3E4E5"/>
          </w:tcPr>
          <w:p>
            <w:pPr>
              <w:jc w:val="right"/>
              <w:ind w:right="3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7,119</w:t>
            </w:r>
          </w:p>
        </w:tc>
      </w:tr>
      <w:tr>
        <w:trPr>
          <w:trHeight w:val="271"/>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454546"/>
              </w:rPr>
              <w:t>Furniture and fixtures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839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839</w:t>
            </w:r>
          </w:p>
        </w:tc>
      </w:tr>
      <w:tr>
        <w:trPr>
          <w:trHeight w:val="29"/>
        </w:trPr>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0"/>
        </w:trPr>
        <w:tc>
          <w:tcPr>
            <w:tcW w:w="7560" w:type="dxa"/>
            <w:vAlign w:val="bottom"/>
            <w:tcBorders>
              <w:bottom w:val="single" w:sz="8" w:color="E3E4E5"/>
            </w:tcBorders>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Computer equipment and software</w:t>
            </w: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46</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460" w:type="dxa"/>
            <w:vAlign w:val="bottom"/>
            <w:tcBorders>
              <w:bottom w:val="single" w:sz="8" w:color="E3E4E5"/>
            </w:tcBorders>
            <w:shd w:val="clear" w:color="auto" w:fill="E3E4E5"/>
          </w:tcPr>
          <w:p>
            <w:pPr>
              <w:spacing w:after="0"/>
              <w:rPr>
                <w:sz w:val="24"/>
                <w:szCs w:val="24"/>
                <w:color w:val="auto"/>
              </w:rPr>
            </w:pPr>
          </w:p>
        </w:tc>
        <w:tc>
          <w:tcPr>
            <w:tcW w:w="8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w:t>
            </w:r>
          </w:p>
        </w:tc>
      </w:tr>
      <w:tr>
        <w:trPr>
          <w:trHeight w:val="271"/>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454546"/>
              </w:rPr>
              <w:t>Leasehold improvements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17,023</w:t>
            </w:r>
          </w:p>
        </w:tc>
      </w:tr>
      <w:tr>
        <w:trPr>
          <w:trHeight w:val="30"/>
        </w:trPr>
        <w:tc>
          <w:tcPr>
            <w:tcW w:w="754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78"/>
        </w:trPr>
        <w:tc>
          <w:tcPr>
            <w:tcW w:w="75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8,920</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6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25,048</w:t>
            </w:r>
          </w:p>
        </w:tc>
      </w:tr>
      <w:tr>
        <w:trPr>
          <w:trHeight w:val="271"/>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454546"/>
              </w:rPr>
              <w:t>Less: Accumulated depreciation and amortization</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(7,005)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(15,084)</w:t>
            </w:r>
          </w:p>
        </w:tc>
      </w:tr>
      <w:tr>
        <w:trPr>
          <w:trHeight w:val="30"/>
        </w:trPr>
        <w:tc>
          <w:tcPr>
            <w:tcW w:w="754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Borders>
              <w:bottom w:val="single" w:sz="8" w:color="E3E4E5"/>
            </w:tcBorders>
          </w:tcPr>
          <w:p>
            <w:pPr>
              <w:spacing w:after="0"/>
              <w:rPr>
                <w:sz w:val="2"/>
                <w:szCs w:val="2"/>
                <w:color w:val="auto"/>
              </w:rPr>
            </w:pPr>
          </w:p>
        </w:tc>
        <w:tc>
          <w:tcPr>
            <w:tcW w:w="20" w:type="dxa"/>
            <w:vAlign w:val="bottom"/>
            <w:tcBorders>
              <w:bottom w:val="single" w:sz="8" w:color="E3E4E5"/>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80"/>
        </w:trPr>
        <w:tc>
          <w:tcPr>
            <w:tcW w:w="7540" w:type="dxa"/>
            <w:vAlign w:val="bottom"/>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1,915</w:t>
            </w:r>
          </w:p>
        </w:tc>
        <w:tc>
          <w:tcPr>
            <w:tcW w:w="60" w:type="dxa"/>
            <w:vAlign w:val="bottom"/>
            <w:shd w:val="clear" w:color="auto" w:fill="E3E4E5"/>
          </w:tcPr>
          <w:p>
            <w:pPr>
              <w:spacing w:after="0"/>
              <w:rPr>
                <w:sz w:val="24"/>
                <w:szCs w:val="24"/>
                <w:color w:val="auto"/>
              </w:rPr>
            </w:pPr>
          </w:p>
        </w:tc>
        <w:tc>
          <w:tcPr>
            <w:tcW w:w="480" w:type="dxa"/>
            <w:vAlign w:val="bottom"/>
            <w:tcBorders>
              <w:bottom w:val="single" w:sz="8" w:color="231F20"/>
            </w:tcBorders>
            <w:gridSpan w:val="2"/>
            <w:shd w:val="clear" w:color="auto" w:fill="E3E4E5"/>
          </w:tcPr>
          <w:p>
            <w:pPr>
              <w:jc w:val="right"/>
              <w:ind w:right="3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9,964</w:t>
            </w:r>
          </w:p>
        </w:tc>
      </w:tr>
      <w:tr>
        <w:trPr>
          <w:trHeight w:val="20"/>
        </w:trPr>
        <w:tc>
          <w:tcPr>
            <w:tcW w:w="75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19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454546"/>
        </w:rPr>
        <w:t>Depreciation and amortization expense was $3.3 million and $3.1 million for the years ended December 31, 2025 and 2024, respectively. The Company recognized a non-cash impairment of leasehold improvements of $5.9 million and $0.8 million for the years ended December 31, 2025 and 2024, respectively, see Note 10, Leases, for additional information.</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87</w:t>
      </w:r>
    </w:p>
    <w:p>
      <w:pPr>
        <w:sectPr>
          <w:pgSz w:w="11880" w:h="15480" w:orient="portrait"/>
          <w:cols w:equalWidth="0" w:num="1">
            <w:col w:w="10240"/>
          </w:cols>
          <w:pgMar w:left="820" w:top="504" w:right="82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454546"/>
        </w:rPr>
        <w:t>5. Accrued Expenses and Other Current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Accrued expenses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52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454546"/>
              </w:rPr>
              <w:t>December 31,</w:t>
            </w:r>
          </w:p>
        </w:tc>
        <w:tc>
          <w:tcPr>
            <w:tcW w:w="840" w:type="dxa"/>
            <w:vAlign w:val="bottom"/>
            <w:tcBorders>
              <w:bottom w:val="single" w:sz="8" w:color="231F20"/>
            </w:tcBorders>
          </w:tcPr>
          <w:p>
            <w:pPr>
              <w:spacing w:after="0"/>
              <w:rPr>
                <w:sz w:val="19"/>
                <w:szCs w:val="19"/>
                <w:color w:val="auto"/>
              </w:rPr>
            </w:pPr>
          </w:p>
        </w:tc>
      </w:tr>
      <w:tr>
        <w:trPr>
          <w:trHeight w:val="222"/>
        </w:trPr>
        <w:tc>
          <w:tcPr>
            <w:tcW w:w="754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w w:val="99"/>
              </w:rPr>
              <w:t>2024</w:t>
            </w:r>
          </w:p>
        </w:tc>
      </w:tr>
      <w:tr>
        <w:trPr>
          <w:trHeight w:val="264"/>
        </w:trPr>
        <w:tc>
          <w:tcPr>
            <w:tcW w:w="75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Accrued employee compensation and benefits</w:t>
            </w:r>
          </w:p>
        </w:tc>
        <w:tc>
          <w:tcPr>
            <w:tcW w:w="20" w:type="dxa"/>
            <w:vAlign w:val="bottom"/>
            <w:shd w:val="clear" w:color="auto" w:fill="E3E4E5"/>
          </w:tcPr>
          <w:p>
            <w:pPr>
              <w:spacing w:after="0"/>
              <w:rPr>
                <w:sz w:val="22"/>
                <w:szCs w:val="22"/>
                <w:color w:val="auto"/>
              </w:rPr>
            </w:pP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5,921</w:t>
            </w:r>
          </w:p>
        </w:tc>
        <w:tc>
          <w:tcPr>
            <w:tcW w:w="60" w:type="dxa"/>
            <w:vAlign w:val="bottom"/>
            <w:shd w:val="clear" w:color="auto" w:fill="E3E4E5"/>
          </w:tcPr>
          <w:p>
            <w:pPr>
              <w:spacing w:after="0"/>
              <w:rPr>
                <w:sz w:val="22"/>
                <w:szCs w:val="22"/>
                <w:color w:val="auto"/>
              </w:rPr>
            </w:pPr>
          </w:p>
        </w:tc>
        <w:tc>
          <w:tcPr>
            <w:tcW w:w="20" w:type="dxa"/>
            <w:vAlign w:val="bottom"/>
            <w:shd w:val="clear" w:color="auto" w:fill="E3E4E5"/>
          </w:tcPr>
          <w:p>
            <w:pPr>
              <w:spacing w:after="0"/>
              <w:rPr>
                <w:sz w:val="22"/>
                <w:szCs w:val="22"/>
                <w:color w:val="auto"/>
              </w:rPr>
            </w:pPr>
          </w:p>
        </w:tc>
        <w:tc>
          <w:tcPr>
            <w:tcW w:w="460" w:type="dxa"/>
            <w:vAlign w:val="bottom"/>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4,742</w:t>
            </w:r>
          </w:p>
        </w:tc>
      </w:tr>
      <w:tr>
        <w:trPr>
          <w:trHeight w:val="278"/>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454546"/>
              </w:rPr>
              <w:t>Accrued external research and development expenses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4,194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3,076</w:t>
            </w:r>
          </w:p>
        </w:tc>
      </w:tr>
      <w:tr>
        <w:trPr>
          <w:trHeight w:val="293"/>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Accrued professional fees</w:t>
            </w: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842</w:t>
            </w:r>
          </w:p>
        </w:tc>
        <w:tc>
          <w:tcPr>
            <w:tcW w:w="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46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712</w:t>
            </w:r>
          </w:p>
        </w:tc>
      </w:tr>
      <w:tr>
        <w:trPr>
          <w:trHeight w:val="284"/>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454546"/>
              </w:rPr>
              <w:t>Other</w:t>
            </w: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400</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w:t>
            </w:r>
          </w:p>
        </w:tc>
      </w:tr>
      <w:tr>
        <w:trPr>
          <w:trHeight w:val="267"/>
        </w:trPr>
        <w:tc>
          <w:tcPr>
            <w:tcW w:w="7540" w:type="dxa"/>
            <w:vAlign w:val="bottom"/>
            <w:shd w:val="clear" w:color="auto" w:fill="E3E4E5"/>
          </w:tcPr>
          <w:p>
            <w:pPr>
              <w:spacing w:after="0"/>
              <w:rPr>
                <w:sz w:val="23"/>
                <w:szCs w:val="23"/>
                <w:color w:val="auto"/>
              </w:rPr>
            </w:pPr>
          </w:p>
        </w:tc>
        <w:tc>
          <w:tcPr>
            <w:tcW w:w="20" w:type="dxa"/>
            <w:vAlign w:val="bottom"/>
            <w:tcBorders>
              <w:bottom w:val="single" w:sz="8" w:color="231F20"/>
            </w:tcBorders>
            <w:shd w:val="clear" w:color="auto" w:fill="E3E4E5"/>
          </w:tcPr>
          <w:p>
            <w:pPr>
              <w:spacing w:after="0"/>
              <w:rPr>
                <w:sz w:val="23"/>
                <w:szCs w:val="23"/>
                <w:color w:val="auto"/>
              </w:rPr>
            </w:pPr>
          </w:p>
        </w:tc>
        <w:tc>
          <w:tcPr>
            <w:tcW w:w="320" w:type="dxa"/>
            <w:vAlign w:val="bottom"/>
            <w:tcBorders>
              <w:bottom w:val="single" w:sz="8" w:color="231F20"/>
            </w:tcBorders>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11,357</w:t>
            </w:r>
          </w:p>
        </w:tc>
        <w:tc>
          <w:tcPr>
            <w:tcW w:w="60" w:type="dxa"/>
            <w:vAlign w:val="bottom"/>
            <w:shd w:val="clear" w:color="auto" w:fill="E3E4E5"/>
          </w:tcPr>
          <w:p>
            <w:pPr>
              <w:spacing w:after="0"/>
              <w:rPr>
                <w:sz w:val="23"/>
                <w:szCs w:val="23"/>
                <w:color w:val="auto"/>
              </w:rPr>
            </w:pPr>
          </w:p>
        </w:tc>
        <w:tc>
          <w:tcPr>
            <w:tcW w:w="480" w:type="dxa"/>
            <w:vAlign w:val="bottom"/>
            <w:tcBorders>
              <w:bottom w:val="single" w:sz="8" w:color="231F20"/>
            </w:tcBorders>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8,531</w:t>
            </w:r>
          </w:p>
        </w:tc>
      </w:tr>
      <w:tr>
        <w:trPr>
          <w:trHeight w:val="20"/>
        </w:trPr>
        <w:tc>
          <w:tcPr>
            <w:tcW w:w="75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6.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Each share of common stock entitles the holder to one vote on all matters submitted to a vote of the Company's stockholders.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Common stockholders are not entitled to receive dividends, unless declared by the board of directors.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454546"/>
        </w:rPr>
        <w:t>In May 2024, the Company entered into an underwriting agreement with Jefferies LLC, TD Securities (USA) LLC and Evercore Group LLC relating to the issuance and sale of an aggregate of 12,743,039 shares of its common stock at a public offering price of $5.51 per share to certain investors. In addition, the Company issued and sold to certain investors in lieu of common stock the Pre-funded Warrants to purchase 7,220,794 shares of its common stock at a public offering price of $5.5099 per pre-funded warrant, which represents the public offering price per share of the common stock less the $0.0001 exercise price per share of each pre-funded warrant. The offering closed on May 22, 2024, resulting in net proceeds of $102.8 million after deducting underwriting discounts and commissions and other offering expenses.</w:t>
      </w:r>
    </w:p>
    <w:p>
      <w:pPr>
        <w:spacing w:after="0" w:line="83"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454546"/>
        </w:rPr>
        <w:t>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and statements of stockholders’ deficit.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Pre-funded Warrants are exercisable at any time.</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454546"/>
        </w:rPr>
        <w:t>On April 15, 2022, the Company entered into a sales agreement (the “Sales Agreement”) with Cowen and Company, LLC (“Cowen”) with respect to an at-the-market offering (the “ATM Offering”) pursuant to which the Company, at its discretion, may offer and sell shares of its common stock having an aggregate offering price of up to $200.0 million from time to time through Cowen as its sales agent. Sales of common stock through Cowen, if any, will be made by any method permitted by law deemed to be an “at the market offering” as defined in Rule 415(a)(4) under the Securities Act of 1933, as amended. The Company will pay Cowen a commission of up to 3.0% of the gross sales price of any common stock sold through Cowen under the Sales Agreement.</w:t>
      </w:r>
    </w:p>
    <w:p>
      <w:pPr>
        <w:spacing w:after="0" w:line="8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454546"/>
        </w:rPr>
        <w:t>On March 20, 2025, the Company and TD Securities (USA) LLC, as successor to Cowen (“TD Cowen”) entered into amended the sales agreement (the “Amended Sales Agreement”), which, among other things, reduced the amount of shares of common stock that may be sold under the ATM Offering to up to $100 million of shares of common stock.</w:t>
      </w:r>
    </w:p>
    <w:p>
      <w:pPr>
        <w:spacing w:after="0" w:line="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color w:val="454546"/>
        </w:rPr>
        <w:t>In the fourth quarter of 2025, the Company issued and sold 101,174 shares of its common stock under the ATM Facility for net proceeds of $0.5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7. 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2020 Equity Incentive Plan</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The Company’s 2020 Equity Incentive Plan (the “2020 Plan”) provides for the grant of incentive stock options, non-qualified options, stock appreciation rights, restricted stock awards, restricted stock units and other stock-based awards. The number of shares initially reserved for issuance under the 2020 Plan was (i) 2,200,000 shares (the “share pool”), plus (ii) the number of shares of common stock available for issuance under the Company’s 2016 Stock Incentive Plan (the “2016 Plan”) as of the effective date of the 2020 Plan, plus the number of shares of common stock underlying awards under the 2016 Plan that on or after the date of adoption expire or become unexercisable without delivery of shares, are forfeited to, or repurchased for cash, are settled in cash, or otherwise become available again for grant under the 2016 Plan, in each case, in accordance with its terms (up to an aggregate of 5,078,295 shares). As of December 31, 2025, 3,486,615 shares remained available for future grant under the 2020 Plan.</w:t>
      </w:r>
    </w:p>
    <w:p>
      <w:pPr>
        <w:spacing w:after="0" w:line="81"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9"/>
          <w:szCs w:val="19"/>
          <w:color w:val="454546"/>
        </w:rPr>
        <w:t>The share pool will automatically increase on January 1 of each year from 2021 to 2030 by the lesser of (i) four percent of the number of shares of our common stock outstanding as of the close of business on the immediately preceding December 31 and</w:t>
      </w:r>
    </w:p>
    <w:p>
      <w:pPr>
        <w:sectPr>
          <w:pgSz w:w="11880" w:h="15480" w:orient="portrait"/>
          <w:cols w:equalWidth="0" w:num="1">
            <w:col w:w="10240"/>
          </w:cols>
          <w:pgMar w:left="820" w:top="740" w:right="820" w:bottom="0" w:gutter="0" w:footer="0" w:header="0"/>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88</w:t>
      </w:r>
    </w:p>
    <w:p>
      <w:pPr>
        <w:sectPr>
          <w:pgSz w:w="11880" w:h="15480" w:orient="portrait"/>
          <w:cols w:equalWidth="0" w:num="1">
            <w:col w:w="10240"/>
          </w:cols>
          <w:pgMar w:left="820" w:top="740" w:right="820" w:bottom="0" w:gutter="0" w:footer="0" w:header="0"/>
          <w:type w:val="continuous"/>
        </w:sectPr>
      </w:pPr>
    </w:p>
    <w:bookmarkStart w:id="90" w:name="page91"/>
    <w:bookmarkEnd w:id="90"/>
    <w:p>
      <w:pPr>
        <w:ind w:left="9" w:right="500" w:hanging="9"/>
        <w:spacing w:after="0" w:line="287" w:lineRule="auto"/>
        <w:tabs>
          <w:tab w:leader="none" w:pos="304" w:val="left"/>
        </w:tabs>
        <w:numPr>
          <w:ilvl w:val="0"/>
          <w:numId w:val="40"/>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the number of shares determined by the board of directors on or prior to such date for such year. The number of shares reserved for issuance under the 2020 Plan was increased by 2,266,293 shares effective January 1, 2026.</w:t>
      </w:r>
    </w:p>
    <w:p>
      <w:pPr>
        <w:spacing w:after="0" w:line="50" w:lineRule="exact"/>
        <w:rPr>
          <w:sz w:val="20"/>
          <w:szCs w:val="20"/>
          <w:color w:val="auto"/>
        </w:rPr>
      </w:pPr>
    </w:p>
    <w:p>
      <w:pPr>
        <w:ind w:left="9" w:right="60"/>
        <w:spacing w:after="0" w:line="259" w:lineRule="auto"/>
        <w:rPr>
          <w:sz w:val="20"/>
          <w:szCs w:val="20"/>
          <w:color w:val="auto"/>
        </w:rPr>
      </w:pPr>
      <w:r>
        <w:rPr>
          <w:rFonts w:ascii="Times New Roman" w:cs="Times New Roman" w:eastAsia="Times New Roman" w:hAnsi="Times New Roman"/>
          <w:sz w:val="20"/>
          <w:szCs w:val="20"/>
          <w:color w:val="454546"/>
        </w:rPr>
        <w:t>The 2020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with service-based vesting conditions generally vest over four years and expire after ten years. The exercise price for stock options granted is not less than the fair value of common stock on the date of grant. The Company bases fair value of common stock on the quoted market price.</w:t>
      </w:r>
    </w:p>
    <w:p>
      <w:pPr>
        <w:spacing w:after="0" w:line="19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454546"/>
        </w:rPr>
        <w:t>2020 Employee Stock Purchase Plan</w:t>
      </w:r>
    </w:p>
    <w:p>
      <w:pPr>
        <w:spacing w:after="0" w:line="130" w:lineRule="exact"/>
        <w:rPr>
          <w:sz w:val="20"/>
          <w:szCs w:val="20"/>
          <w:color w:val="auto"/>
        </w:rPr>
      </w:pPr>
    </w:p>
    <w:p>
      <w:pPr>
        <w:ind w:left="9" w:right="100"/>
        <w:spacing w:after="0" w:line="255" w:lineRule="auto"/>
        <w:rPr>
          <w:sz w:val="20"/>
          <w:szCs w:val="20"/>
          <w:color w:val="auto"/>
        </w:rPr>
      </w:pPr>
      <w:r>
        <w:rPr>
          <w:rFonts w:ascii="Times New Roman" w:cs="Times New Roman" w:eastAsia="Times New Roman" w:hAnsi="Times New Roman"/>
          <w:sz w:val="20"/>
          <w:szCs w:val="20"/>
          <w:color w:val="454546"/>
        </w:rPr>
        <w:t>On October 21, 2020, the Company’s board of directors adopted and its stockholders approved the 2020 Employee Stock Purchase Plan (the “ESPP”), which became effective on October 21, 2020. The aggregate number of shares of common stock available for purchase pursuant to the exercise of options under the ESPP is 360,000 shares, plus an automatic annual increase, as of January 1 of each year from 2021 to 2030, equal to the lesser of one percent of the number of shares of common stock outstanding as of the close of business on the immediately preceding December 31 and (ii) the number of shares determined by the board of directors on or prior to such date for such year (up to a maximum of 3,220,520 shares). As of December 31, 2025, 2,077,652 shares remained available for future grant under the ESPP. The number of shares reserved for issuance under the ESPP was increased by 566,573 shares effective January 1, 2026.</w:t>
      </w:r>
    </w:p>
    <w:p>
      <w:pPr>
        <w:spacing w:after="0" w:line="85" w:lineRule="exact"/>
        <w:rPr>
          <w:sz w:val="20"/>
          <w:szCs w:val="20"/>
          <w:color w:val="auto"/>
        </w:rPr>
      </w:pPr>
    </w:p>
    <w:p>
      <w:pPr>
        <w:ind w:left="9"/>
        <w:spacing w:after="0" w:line="259" w:lineRule="auto"/>
        <w:rPr>
          <w:sz w:val="20"/>
          <w:szCs w:val="20"/>
          <w:color w:val="auto"/>
        </w:rPr>
      </w:pPr>
      <w:r>
        <w:rPr>
          <w:rFonts w:ascii="Times New Roman" w:cs="Times New Roman" w:eastAsia="Times New Roman" w:hAnsi="Times New Roman"/>
          <w:sz w:val="20"/>
          <w:szCs w:val="20"/>
          <w:color w:val="454546"/>
        </w:rPr>
        <w:t>Eligible employees may authorize payroll deductions of up to 15% of their eligible compensation during an offering period. The purchase of shares is done at a 15% discount on the lesser of (i) the Fair Market Value of a share of Stock on the first day of the offering period and (ii) the Fair Market Value of a share of Stock on the last day of the offering period. The Company currently holds two offering periods, September 1 and March 1, respectively. For the years ended December 31, 2025 and 2024, the Company recognized a de minimis amount and $0.1 million, respectively, of expense related to the ESPP.</w:t>
      </w:r>
    </w:p>
    <w:p>
      <w:pPr>
        <w:spacing w:after="0" w:line="19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454546"/>
        </w:rPr>
        <w:t>Stock option valuation</w:t>
      </w:r>
    </w:p>
    <w:p>
      <w:pPr>
        <w:spacing w:after="0" w:line="130" w:lineRule="exact"/>
        <w:rPr>
          <w:sz w:val="20"/>
          <w:szCs w:val="20"/>
          <w:color w:val="auto"/>
        </w:rPr>
      </w:pPr>
    </w:p>
    <w:p>
      <w:pPr>
        <w:ind w:left="9" w:right="100"/>
        <w:spacing w:after="0" w:line="256" w:lineRule="auto"/>
        <w:rPr>
          <w:sz w:val="20"/>
          <w:szCs w:val="20"/>
          <w:color w:val="auto"/>
        </w:rPr>
      </w:pPr>
      <w:r>
        <w:rPr>
          <w:rFonts w:ascii="Times New Roman" w:cs="Times New Roman" w:eastAsia="Times New Roman" w:hAnsi="Times New Roman"/>
          <w:sz w:val="20"/>
          <w:szCs w:val="20"/>
          <w:color w:val="454546"/>
        </w:rPr>
        <w:t>The fair value of stock option grants is estimated using the Black-Scholes option-pricing model. The Company currently lacks company-specific historical and implied volatility information. Therefore, it estimates its expected stock volatility based on the historical volatility of a publicly traded set of peer companies.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3" w:lineRule="exact"/>
        <w:rPr>
          <w:sz w:val="20"/>
          <w:szCs w:val="20"/>
          <w:color w:val="auto"/>
        </w:rPr>
      </w:pPr>
    </w:p>
    <w:p>
      <w:pPr>
        <w:ind w:left="9" w:right="180"/>
        <w:spacing w:after="0" w:line="269" w:lineRule="auto"/>
        <w:rPr>
          <w:sz w:val="20"/>
          <w:szCs w:val="20"/>
          <w:color w:val="auto"/>
        </w:rPr>
      </w:pPr>
      <w:r>
        <w:rPr>
          <w:rFonts w:ascii="Times New Roman" w:cs="Times New Roman" w:eastAsia="Times New Roman" w:hAnsi="Times New Roman"/>
          <w:sz w:val="20"/>
          <w:szCs w:val="20"/>
          <w:color w:val="454546"/>
        </w:rPr>
        <w:t>The following table presents, on a weighted average basis, the assumptions used in the Black-Scholes option-pricing model to determine the grant-date fair value of stock options granted for the years ended December 31, 2025 and 2024 which was as follows:</w:t>
      </w:r>
    </w:p>
    <w:p>
      <w:pPr>
        <w:spacing w:after="0" w:line="126" w:lineRule="exact"/>
        <w:rPr>
          <w:sz w:val="20"/>
          <w:szCs w:val="20"/>
          <w:color w:val="auto"/>
        </w:rPr>
      </w:pPr>
    </w:p>
    <w:tbl>
      <w:tblPr>
        <w:tblLayout w:type="fixed"/>
        <w:tblInd w:w="9"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2460" w:type="dxa"/>
            <w:vAlign w:val="bottom"/>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220" w:type="dxa"/>
            <w:vAlign w:val="bottom"/>
          </w:tcPr>
          <w:p>
            <w:pPr>
              <w:spacing w:after="0"/>
              <w:rPr>
                <w:sz w:val="19"/>
                <w:szCs w:val="19"/>
                <w:color w:val="auto"/>
              </w:rPr>
            </w:pPr>
          </w:p>
        </w:tc>
      </w:tr>
      <w:tr>
        <w:trPr>
          <w:trHeight w:val="25"/>
        </w:trPr>
        <w:tc>
          <w:tcPr>
            <w:tcW w:w="7560" w:type="dxa"/>
            <w:vAlign w:val="bottom"/>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r>
      <w:tr>
        <w:trPr>
          <w:trHeight w:val="234"/>
        </w:trPr>
        <w:tc>
          <w:tcPr>
            <w:tcW w:w="7560" w:type="dxa"/>
            <w:vAlign w:val="bottom"/>
            <w:tcBorders>
              <w:bottom w:val="single" w:sz="8" w:color="E3E4E5"/>
            </w:tcBorders>
          </w:tcPr>
          <w:p>
            <w:pPr>
              <w:spacing w:after="0"/>
              <w:rPr>
                <w:sz w:val="20"/>
                <w:szCs w:val="20"/>
                <w:color w:val="auto"/>
              </w:rPr>
            </w:pPr>
          </w:p>
        </w:tc>
        <w:tc>
          <w:tcPr>
            <w:tcW w:w="1080" w:type="dxa"/>
            <w:vAlign w:val="bottom"/>
            <w:tcBorders>
              <w:bottom w:val="single" w:sz="8" w:color="231F20"/>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20" w:type="dxa"/>
            <w:vAlign w:val="bottom"/>
            <w:tcBorders>
              <w:bottom w:val="single" w:sz="8" w:color="231F20"/>
            </w:tcBorders>
          </w:tcPr>
          <w:p>
            <w:pPr>
              <w:spacing w:after="0"/>
              <w:rPr>
                <w:sz w:val="20"/>
                <w:szCs w:val="20"/>
                <w:color w:val="auto"/>
              </w:rPr>
            </w:pPr>
          </w:p>
        </w:tc>
        <w:tc>
          <w:tcPr>
            <w:tcW w:w="80" w:type="dxa"/>
            <w:vAlign w:val="bottom"/>
            <w:tcBorders>
              <w:bottom w:val="single" w:sz="8" w:color="E3E4E5"/>
            </w:tcBorders>
          </w:tcPr>
          <w:p>
            <w:pPr>
              <w:spacing w:after="0"/>
              <w:rPr>
                <w:sz w:val="20"/>
                <w:szCs w:val="20"/>
                <w:color w:val="auto"/>
              </w:rPr>
            </w:pPr>
          </w:p>
        </w:tc>
        <w:tc>
          <w:tcPr>
            <w:tcW w:w="1080" w:type="dxa"/>
            <w:vAlign w:val="bottom"/>
            <w:tcBorders>
              <w:bottom w:val="single" w:sz="8" w:color="231F20"/>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220" w:type="dxa"/>
            <w:vAlign w:val="bottom"/>
            <w:tcBorders>
              <w:bottom w:val="single" w:sz="8" w:color="231F20"/>
            </w:tcBorders>
          </w:tcPr>
          <w:p>
            <w:pPr>
              <w:spacing w:after="0"/>
              <w:rPr>
                <w:sz w:val="20"/>
                <w:szCs w:val="20"/>
                <w:color w:val="auto"/>
              </w:rPr>
            </w:pPr>
          </w:p>
        </w:tc>
      </w:tr>
      <w:tr>
        <w:trPr>
          <w:trHeight w:val="281"/>
        </w:trPr>
        <w:tc>
          <w:tcPr>
            <w:tcW w:w="75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Risk-free interest rate</w:t>
            </w:r>
          </w:p>
        </w:tc>
        <w:tc>
          <w:tcPr>
            <w:tcW w:w="10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4.3</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71"/>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Expected volatility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93.5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89.3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9"/>
        </w:trPr>
        <w:tc>
          <w:tcPr>
            <w:tcW w:w="7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80"/>
        </w:trPr>
        <w:tc>
          <w:tcPr>
            <w:tcW w:w="75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Expected dividend yield</w:t>
            </w: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220" w:type="dxa"/>
            <w:vAlign w:val="bottom"/>
            <w:tcBorders>
              <w:bottom w:val="single" w:sz="8" w:color="E3E4E5"/>
            </w:tcBorders>
            <w:shd w:val="clear" w:color="auto" w:fill="E3E4E5"/>
          </w:tcPr>
          <w:p>
            <w:pPr>
              <w:spacing w:after="0"/>
              <w:rPr>
                <w:sz w:val="24"/>
                <w:szCs w:val="24"/>
                <w:color w:val="auto"/>
              </w:rPr>
            </w:pPr>
          </w:p>
        </w:tc>
      </w:tr>
      <w:tr>
        <w:trPr>
          <w:trHeight w:val="271"/>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Expected term (in years)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6.1</w:t>
            </w:r>
          </w:p>
        </w:tc>
      </w:tr>
    </w:tbl>
    <w:p>
      <w:pPr>
        <w:spacing w:after="0" w:line="9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color w:val="454546"/>
        </w:rPr>
        <w:t>The following table summarizes the Company’s option activity for the year ended December 31, 2025 which was as follows:</w:t>
      </w:r>
    </w:p>
    <w:p>
      <w:pPr>
        <w:spacing w:after="0" w:line="190" w:lineRule="exact"/>
        <w:rPr>
          <w:sz w:val="20"/>
          <w:szCs w:val="20"/>
          <w:color w:val="auto"/>
        </w:rPr>
      </w:pPr>
    </w:p>
    <w:tbl>
      <w:tblPr>
        <w:tblLayout w:type="fixed"/>
        <w:tblInd w:w="9"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454546"/>
              </w:rPr>
              <w:t>Weighted</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b w:val="1"/>
                <w:bCs w:val="1"/>
                <w:color w:val="454546"/>
                <w:w w:val="99"/>
              </w:rPr>
              <w:t>Aggregate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68"/>
              <w:spacing w:after="0" w:line="169" w:lineRule="exact"/>
              <w:rPr>
                <w:sz w:val="20"/>
                <w:szCs w:val="20"/>
                <w:color w:val="auto"/>
              </w:rPr>
            </w:pPr>
            <w:r>
              <w:rPr>
                <w:rFonts w:ascii="Times New Roman" w:cs="Times New Roman" w:eastAsia="Times New Roman" w:hAnsi="Times New Roman"/>
                <w:sz w:val="16"/>
                <w:szCs w:val="16"/>
                <w:b w:val="1"/>
                <w:bCs w:val="1"/>
                <w:color w:val="454546"/>
                <w:w w:val="98"/>
              </w:rPr>
              <w:t>Average</w:t>
            </w:r>
          </w:p>
        </w:tc>
        <w:tc>
          <w:tcPr>
            <w:tcW w:w="80" w:type="dxa"/>
            <w:vAlign w:val="bottom"/>
          </w:tcPr>
          <w:p>
            <w:pPr>
              <w:spacing w:after="0"/>
              <w:rPr>
                <w:sz w:val="14"/>
                <w:szCs w:val="14"/>
                <w:color w:val="auto"/>
              </w:rPr>
            </w:pPr>
          </w:p>
        </w:tc>
        <w:tc>
          <w:tcPr>
            <w:tcW w:w="13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454546"/>
                <w:w w:val="98"/>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454546"/>
              </w:rPr>
              <w:t>Number of</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454546"/>
              </w:rPr>
              <w:t>Exercise</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Contractual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454546"/>
                <w:w w:val="98"/>
              </w:rPr>
              <w:t>Intrinsic</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30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454546"/>
              </w:rPr>
              <w:t>Options</w:t>
            </w:r>
          </w:p>
        </w:tc>
        <w:tc>
          <w:tcPr>
            <w:tcW w:w="8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center"/>
              <w:ind w:right="168"/>
              <w:spacing w:after="0"/>
              <w:rPr>
                <w:sz w:val="20"/>
                <w:szCs w:val="20"/>
                <w:color w:val="auto"/>
              </w:rPr>
            </w:pPr>
            <w:r>
              <w:rPr>
                <w:rFonts w:ascii="Times New Roman" w:cs="Times New Roman" w:eastAsia="Times New Roman" w:hAnsi="Times New Roman"/>
                <w:sz w:val="16"/>
                <w:szCs w:val="16"/>
                <w:b w:val="1"/>
                <w:bCs w:val="1"/>
                <w:color w:val="454546"/>
              </w:rPr>
              <w:t>Price</w:t>
            </w:r>
          </w:p>
        </w:tc>
        <w:tc>
          <w:tcPr>
            <w:tcW w:w="80" w:type="dxa"/>
            <w:vAlign w:val="bottom"/>
          </w:tcPr>
          <w:p>
            <w:pPr>
              <w:spacing w:after="0"/>
              <w:rPr>
                <w:sz w:val="22"/>
                <w:szCs w:val="22"/>
                <w:color w:val="auto"/>
              </w:rPr>
            </w:pP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4"/>
              </w:rPr>
              <w:t>Term</w:t>
            </w:r>
          </w:p>
        </w:tc>
        <w:tc>
          <w:tcPr>
            <w:tcW w:w="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454546"/>
                <w:w w:val="99"/>
              </w:rPr>
              <w:t>Value</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(in years)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454546"/>
              </w:rPr>
              <w:t>(in thousands)</w:t>
            </w:r>
          </w:p>
        </w:tc>
        <w:tc>
          <w:tcPr>
            <w:tcW w:w="0" w:type="dxa"/>
            <w:vAlign w:val="bottom"/>
          </w:tcPr>
          <w:p>
            <w:pPr>
              <w:spacing w:after="0"/>
              <w:rPr>
                <w:sz w:val="1"/>
                <w:szCs w:val="1"/>
                <w:color w:val="auto"/>
              </w:rPr>
            </w:pPr>
          </w:p>
        </w:tc>
      </w:tr>
      <w:tr>
        <w:trPr>
          <w:trHeight w:val="283"/>
        </w:trPr>
        <w:tc>
          <w:tcPr>
            <w:tcW w:w="40" w:type="dxa"/>
            <w:vAlign w:val="bottom"/>
            <w:shd w:val="clear" w:color="auto" w:fill="E3E4E5"/>
          </w:tcPr>
          <w:p>
            <w:pPr>
              <w:spacing w:after="0"/>
              <w:rPr>
                <w:sz w:val="24"/>
                <w:szCs w:val="24"/>
                <w:color w:val="auto"/>
              </w:rPr>
            </w:pPr>
          </w:p>
        </w:tc>
        <w:tc>
          <w:tcPr>
            <w:tcW w:w="47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Outstanding as of December 31, 2024</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8,989,893</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8.34</w:t>
            </w:r>
          </w:p>
        </w:tc>
        <w:tc>
          <w:tcPr>
            <w:tcW w:w="80" w:type="dxa"/>
            <w:vAlign w:val="bottom"/>
            <w:shd w:val="clear" w:color="auto" w:fill="E3E4E5"/>
          </w:tcPr>
          <w:p>
            <w:pPr>
              <w:spacing w:after="0"/>
              <w:rPr>
                <w:sz w:val="24"/>
                <w:szCs w:val="24"/>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7.1</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6,388</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760" w:type="dxa"/>
            <w:vAlign w:val="bottom"/>
          </w:tcPr>
          <w:p>
            <w:pPr>
              <w:ind w:left="360"/>
              <w:spacing w:after="0"/>
              <w:rPr>
                <w:sz w:val="20"/>
                <w:szCs w:val="20"/>
                <w:color w:val="auto"/>
              </w:rPr>
            </w:pPr>
            <w:r>
              <w:rPr>
                <w:rFonts w:ascii="Times New Roman" w:cs="Times New Roman" w:eastAsia="Times New Roman" w:hAnsi="Times New Roman"/>
                <w:sz w:val="20"/>
                <w:szCs w:val="20"/>
                <w:color w:val="454546"/>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2,531,222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4.38</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shd w:val="clear" w:color="auto" w:fill="E3E4E5"/>
          </w:tcPr>
          <w:p>
            <w:pPr>
              <w:spacing w:after="0"/>
              <w:rPr>
                <w:sz w:val="24"/>
                <w:szCs w:val="24"/>
                <w:color w:val="auto"/>
              </w:rPr>
            </w:pPr>
          </w:p>
        </w:tc>
        <w:tc>
          <w:tcPr>
            <w:tcW w:w="476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Exercised</w:t>
            </w: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(213,710)</w:t>
            </w: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1.85</w:t>
            </w:r>
          </w:p>
        </w:tc>
        <w:tc>
          <w:tcPr>
            <w:tcW w:w="80" w:type="dxa"/>
            <w:vAlign w:val="bottom"/>
            <w:shd w:val="clear" w:color="auto" w:fill="E3E4E5"/>
          </w:tcPr>
          <w:p>
            <w:pPr>
              <w:spacing w:after="0"/>
              <w:rPr>
                <w:sz w:val="24"/>
                <w:szCs w:val="24"/>
                <w:color w:val="auto"/>
              </w:rPr>
            </w:pPr>
          </w:p>
        </w:tc>
        <w:tc>
          <w:tcPr>
            <w:tcW w:w="13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14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Borders>
              <w:bottom w:val="single" w:sz="8" w:color="E3E4E5"/>
            </w:tcBorders>
          </w:tcPr>
          <w:p>
            <w:pPr>
              <w:spacing w:after="0"/>
              <w:rPr>
                <w:sz w:val="24"/>
                <w:szCs w:val="24"/>
                <w:color w:val="auto"/>
              </w:rPr>
            </w:pPr>
          </w:p>
        </w:tc>
        <w:tc>
          <w:tcPr>
            <w:tcW w:w="4760" w:type="dxa"/>
            <w:vAlign w:val="bottom"/>
            <w:tcBorders>
              <w:bottom w:val="single" w:sz="8" w:color="E3E4E5"/>
            </w:tcBorders>
          </w:tcPr>
          <w:p>
            <w:pPr>
              <w:ind w:left="360"/>
              <w:spacing w:after="0"/>
              <w:rPr>
                <w:sz w:val="20"/>
                <w:szCs w:val="20"/>
                <w:color w:val="auto"/>
              </w:rPr>
            </w:pPr>
            <w:r>
              <w:rPr>
                <w:rFonts w:ascii="Times New Roman" w:cs="Times New Roman" w:eastAsia="Times New Roman" w:hAnsi="Times New Roman"/>
                <w:sz w:val="20"/>
                <w:szCs w:val="20"/>
                <w:color w:val="454546"/>
              </w:rPr>
              <w:t>Forfeited/Expired</w:t>
            </w: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(1,049,904)</w:t>
            </w:r>
          </w:p>
        </w:tc>
        <w:tc>
          <w:tcPr>
            <w:tcW w:w="80" w:type="dxa"/>
            <w:vAlign w:val="bottom"/>
            <w:tcBorders>
              <w:bottom w:val="single" w:sz="8" w:color="E3E4E5"/>
            </w:tcBorders>
          </w:tcPr>
          <w:p>
            <w:pPr>
              <w:spacing w:after="0"/>
              <w:rPr>
                <w:sz w:val="24"/>
                <w:szCs w:val="24"/>
                <w:color w:val="auto"/>
              </w:rPr>
            </w:pPr>
          </w:p>
        </w:tc>
        <w:tc>
          <w:tcPr>
            <w:tcW w:w="240" w:type="dxa"/>
            <w:vAlign w:val="bottom"/>
            <w:tcBorders>
              <w:bottom w:val="single" w:sz="8" w:color="E3E4E5"/>
            </w:tcBorders>
          </w:tcPr>
          <w:p>
            <w:pPr>
              <w:spacing w:after="0"/>
              <w:rPr>
                <w:sz w:val="24"/>
                <w:szCs w:val="24"/>
                <w:color w:val="auto"/>
              </w:rPr>
            </w:pPr>
          </w:p>
        </w:tc>
        <w:tc>
          <w:tcPr>
            <w:tcW w:w="106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454546"/>
              </w:rPr>
              <w:t>8.23</w:t>
            </w:r>
          </w:p>
        </w:tc>
        <w:tc>
          <w:tcPr>
            <w:tcW w:w="80" w:type="dxa"/>
            <w:vAlign w:val="bottom"/>
            <w:tcBorders>
              <w:bottom w:val="single" w:sz="8" w:color="E3E4E5"/>
            </w:tcBorders>
          </w:tcPr>
          <w:p>
            <w:pPr>
              <w:spacing w:after="0"/>
              <w:rPr>
                <w:sz w:val="24"/>
                <w:szCs w:val="24"/>
                <w:color w:val="auto"/>
              </w:rPr>
            </w:pPr>
          </w:p>
        </w:tc>
        <w:tc>
          <w:tcPr>
            <w:tcW w:w="1300" w:type="dxa"/>
            <w:vAlign w:val="bottom"/>
            <w:tcBorders>
              <w:bottom w:val="single" w:sz="8" w:color="E3E4E5"/>
            </w:tcBorders>
          </w:tcPr>
          <w:p>
            <w:pPr>
              <w:spacing w:after="0"/>
              <w:rPr>
                <w:sz w:val="24"/>
                <w:szCs w:val="24"/>
                <w:color w:val="auto"/>
              </w:rPr>
            </w:pP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E3E4E5"/>
            </w:tcBorders>
          </w:tcPr>
          <w:p>
            <w:pPr>
              <w:spacing w:after="0"/>
              <w:rPr>
                <w:sz w:val="24"/>
                <w:szCs w:val="24"/>
                <w:color w:val="auto"/>
              </w:rPr>
            </w:pPr>
          </w:p>
        </w:tc>
        <w:tc>
          <w:tcPr>
            <w:tcW w:w="1140" w:type="dxa"/>
            <w:vAlign w:val="bottom"/>
            <w:tcBorders>
              <w:bottom w:val="single" w:sz="8" w:color="E3E4E5"/>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E3E4E5"/>
            </w:tcBorders>
            <w:shd w:val="clear" w:color="auto" w:fill="E3E4E5"/>
          </w:tcPr>
          <w:p>
            <w:pPr>
              <w:spacing w:after="0"/>
              <w:rPr>
                <w:sz w:val="24"/>
                <w:szCs w:val="24"/>
                <w:color w:val="auto"/>
              </w:rPr>
            </w:pPr>
          </w:p>
        </w:tc>
        <w:tc>
          <w:tcPr>
            <w:tcW w:w="47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Outstanding as of December 31, 2025</w:t>
            </w:r>
          </w:p>
        </w:tc>
        <w:tc>
          <w:tcPr>
            <w:tcW w:w="13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10,257,501</w:t>
            </w:r>
          </w:p>
        </w:tc>
        <w:tc>
          <w:tcPr>
            <w:tcW w:w="8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7.51</w:t>
            </w:r>
          </w:p>
        </w:tc>
        <w:tc>
          <w:tcPr>
            <w:tcW w:w="80" w:type="dxa"/>
            <w:vAlign w:val="bottom"/>
            <w:tcBorders>
              <w:bottom w:val="single" w:sz="8" w:color="E3E4E5"/>
            </w:tcBorders>
            <w:shd w:val="clear" w:color="auto" w:fill="E3E4E5"/>
          </w:tcPr>
          <w:p>
            <w:pPr>
              <w:spacing w:after="0"/>
              <w:rPr>
                <w:sz w:val="24"/>
                <w:szCs w:val="24"/>
                <w:color w:val="auto"/>
              </w:rPr>
            </w:pPr>
          </w:p>
        </w:tc>
        <w:tc>
          <w:tcPr>
            <w:tcW w:w="13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6.7</w:t>
            </w:r>
          </w:p>
        </w:tc>
        <w:tc>
          <w:tcPr>
            <w:tcW w:w="24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9,690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Times New Roman" w:cs="Times New Roman" w:eastAsia="Times New Roman" w:hAnsi="Times New Roman"/>
                <w:sz w:val="20"/>
                <w:szCs w:val="20"/>
                <w:color w:val="454546"/>
              </w:rPr>
              <w:t>Options exercisable as of December 31, 2025</w:t>
            </w:r>
          </w:p>
        </w:tc>
        <w:tc>
          <w:tcPr>
            <w:tcW w:w="1300" w:type="dxa"/>
            <w:vAlign w:val="bottom"/>
            <w:tcBorders>
              <w:bottom w:val="single" w:sz="8" w:color="231F20"/>
            </w:tcBorders>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9.00</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5.5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5,556</w:t>
            </w: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vMerge w:val="continue"/>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6,334,480</w:t>
            </w:r>
          </w:p>
        </w:tc>
        <w:tc>
          <w:tcPr>
            <w:tcW w:w="32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3876675</wp:posOffset>
                </wp:positionH>
                <wp:positionV relativeFrom="paragraph">
                  <wp:posOffset>-186055</wp:posOffset>
                </wp:positionV>
                <wp:extent cx="26289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8900" cy="4763"/>
                        </a:xfrm>
                        <a:prstGeom prst="line">
                          <a:avLst/>
                        </a:prstGeom>
                        <a:solidFill>
                          <a:srgbClr val="FFFFFF"/>
                        </a:solidFill>
                        <a:ln w="38100">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25pt,-14.6499pt" to="512.25pt,-14.6499pt" o:allowincell="f" strokecolor="#FFFFFF" strokeweight="3pt"/>
            </w:pict>
          </mc:Fallback>
        </mc:AlternateContent>
      </w:r>
    </w:p>
    <w:p>
      <w:pPr>
        <w:sectPr>
          <w:pgSz w:w="11880" w:h="15480" w:orient="portrait"/>
          <w:cols w:equalWidth="0" w:num="1">
            <w:col w:w="10269"/>
          </w:cols>
          <w:pgMar w:left="811" w:top="504" w:right="80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454546"/>
        </w:rPr>
        <w:t>89</w:t>
      </w:r>
    </w:p>
    <w:p>
      <w:pPr>
        <w:sectPr>
          <w:pgSz w:w="11880" w:h="15480" w:orient="portrait"/>
          <w:cols w:equalWidth="0" w:num="1">
            <w:col w:w="10269"/>
          </w:cols>
          <w:pgMar w:left="811" w:top="504" w:right="800" w:bottom="0" w:gutter="0" w:footer="0" w:header="0"/>
          <w:type w:val="continuous"/>
        </w:sectPr>
      </w:pPr>
    </w:p>
    <w:bookmarkStart w:id="91" w:name="page92"/>
    <w:bookmarkEnd w:id="91"/>
    <w:p>
      <w:pPr>
        <w:ind w:right="20"/>
        <w:spacing w:after="0" w:line="262" w:lineRule="auto"/>
        <w:rPr>
          <w:sz w:val="20"/>
          <w:szCs w:val="20"/>
          <w:color w:val="auto"/>
        </w:rPr>
      </w:pPr>
      <w:r>
        <w:rPr>
          <w:rFonts w:ascii="Times New Roman" w:cs="Times New Roman" w:eastAsia="Times New Roman" w:hAnsi="Times New Roman"/>
          <w:sz w:val="20"/>
          <w:szCs w:val="20"/>
          <w:color w:val="454546"/>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for the years ended December 31, 2025 and 2024 was $0.5 million and $1.8 million, respectively</w:t>
      </w:r>
    </w:p>
    <w:p>
      <w:pPr>
        <w:spacing w:after="0" w:line="76"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color w:val="454546"/>
        </w:rPr>
        <w:t>The weighted average grant-date fair value of stock options granted for the years ended December 31, 2025 and 2024 was $3.32 per share and $3.14 per share,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Stock-based compensation</w:t>
      </w:r>
    </w:p>
    <w:p>
      <w:pPr>
        <w:spacing w:after="0" w:line="13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454546"/>
        </w:rPr>
        <w:t>The Company recorded stock-based compensation expense related to common stock options in the following expense categories of its consolidated statements of operations and comprehensive loss for the years ended December 31, 2025 and 2024 which was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2380" w:type="dxa"/>
            <w:vAlign w:val="bottom"/>
            <w:tcBorders>
              <w:bottom w:val="single" w:sz="8" w:color="231F20"/>
            </w:tcBorders>
            <w:gridSpan w:val="5"/>
          </w:tcPr>
          <w:p>
            <w:pPr>
              <w:jc w:val="right"/>
              <w:ind w:right="365"/>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2"/>
        </w:trPr>
        <w:tc>
          <w:tcPr>
            <w:tcW w:w="754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64"/>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Research and development expenses</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4,336</w:t>
            </w:r>
          </w:p>
        </w:tc>
        <w:tc>
          <w:tcPr>
            <w:tcW w:w="60" w:type="dxa"/>
            <w:vAlign w:val="bottom"/>
            <w:shd w:val="clear" w:color="auto" w:fill="E3E4E5"/>
          </w:tcPr>
          <w:p>
            <w:pPr>
              <w:spacing w:after="0"/>
              <w:rPr>
                <w:sz w:val="22"/>
                <w:szCs w:val="22"/>
                <w:color w:val="auto"/>
              </w:rPr>
            </w:pPr>
          </w:p>
        </w:tc>
        <w:tc>
          <w:tcPr>
            <w:tcW w:w="34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4,955</w:t>
            </w:r>
          </w:p>
        </w:tc>
      </w:tr>
      <w:tr>
        <w:trPr>
          <w:trHeight w:val="285"/>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454546"/>
              </w:rPr>
              <w:t>General and administrative expenses</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6,063</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6,938</w:t>
            </w:r>
          </w:p>
        </w:tc>
      </w:tr>
      <w:tr>
        <w:trPr>
          <w:trHeight w:val="268"/>
        </w:trPr>
        <w:tc>
          <w:tcPr>
            <w:tcW w:w="7540" w:type="dxa"/>
            <w:vAlign w:val="bottom"/>
            <w:shd w:val="clear" w:color="auto" w:fill="E3E4E5"/>
          </w:tcPr>
          <w:p>
            <w:pPr>
              <w:spacing w:after="0"/>
              <w:rPr>
                <w:sz w:val="23"/>
                <w:szCs w:val="23"/>
                <w:color w:val="auto"/>
              </w:rPr>
            </w:pPr>
          </w:p>
        </w:tc>
        <w:tc>
          <w:tcPr>
            <w:tcW w:w="20" w:type="dxa"/>
            <w:vAlign w:val="bottom"/>
            <w:tcBorders>
              <w:bottom w:val="single" w:sz="8" w:color="231F20"/>
            </w:tcBorders>
            <w:shd w:val="clear" w:color="auto" w:fill="E3E4E5"/>
          </w:tcPr>
          <w:p>
            <w:pPr>
              <w:spacing w:after="0"/>
              <w:rPr>
                <w:sz w:val="23"/>
                <w:szCs w:val="23"/>
                <w:color w:val="auto"/>
              </w:rPr>
            </w:pPr>
          </w:p>
        </w:tc>
        <w:tc>
          <w:tcPr>
            <w:tcW w:w="3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10,399</w:t>
            </w:r>
          </w:p>
        </w:tc>
        <w:tc>
          <w:tcPr>
            <w:tcW w:w="60" w:type="dxa"/>
            <w:vAlign w:val="bottom"/>
            <w:shd w:val="clear" w:color="auto" w:fill="E3E4E5"/>
          </w:tcPr>
          <w:p>
            <w:pPr>
              <w:spacing w:after="0"/>
              <w:rPr>
                <w:sz w:val="23"/>
                <w:szCs w:val="23"/>
                <w:color w:val="auto"/>
              </w:rPr>
            </w:pPr>
          </w:p>
        </w:tc>
        <w:tc>
          <w:tcPr>
            <w:tcW w:w="340" w:type="dxa"/>
            <w:vAlign w:val="bottom"/>
            <w:tcBorders>
              <w:bottom w:val="single" w:sz="8" w:color="231F20"/>
            </w:tcBorders>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11,893</w:t>
            </w:r>
          </w:p>
        </w:tc>
      </w:tr>
      <w:tr>
        <w:trPr>
          <w:trHeight w:val="20"/>
        </w:trPr>
        <w:tc>
          <w:tcPr>
            <w:tcW w:w="75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r>
    </w:tbl>
    <w:p>
      <w:pPr>
        <w:spacing w:after="0" w:line="71"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color w:val="454546"/>
        </w:rPr>
        <w:t>As of December 31, 2025, total unrecognized compensation cost related to unvested options was $11.7 million, which is expected to be recognized over a weighted average period of 2.1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8. Collaboration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Lilly Collaboration Agreement and Stock Purchase Agreement</w:t>
      </w:r>
    </w:p>
    <w:p>
      <w:pPr>
        <w:spacing w:after="0" w:line="13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454546"/>
        </w:rPr>
        <w:t>In December 2021, the Company entered into the Lilly Collaboration Agreement with Lilly to create novel oncology medicines by applying Foghorn’s proprietary Gene Traffic Control platform. The collaboration includes a co-development and co-commercialization agreement for the Company’s selective SMARCA2 (BRM) oncology target, consisting of two programs, and one additional undisclosed oncology target (collectively, the “Joint Programs”). The collaboration also includes three additional discovery targets or programs (collectively, the “Discovery Programs”) for a total of six programs directed at five targets.</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With respect to the Joint Programs, the Company will lead discovery and early research activities through the successful completion of dose finding toxicity studies for the identified compound, while Lilly will lead development and commercialization activities of the identified compound with participation from the Company in development activities and 50% cost sharing until registrational clinical trials. The Company and Lilly may jointly develop and commercialize the Joint Program compound though the Company may, in its sole discretion, opt-out on a program-by-program basis of further participation in the development and commercialization efforts prior to the first registrational clinical trial. If the Company does not opt-out, Lilly and the Company will continue to share in the costs to further develop and commercialize the Joint Program compound on a worldwide basis, equally share in the U.S. profits on product sales, subject to certain adjustments and receive royalties on sales outside of the United States (“Ex-U.S.”) at royalty rates ranging from low double digits to high twenties. If the Company opts-out of further development and commercialization efforts, it will have no further obligations to share in the development and commercialization costs, will receive royalties rather than profit share on U.S. sales and will receive royalties at a lower rate on Ex-U.S. sales.</w:t>
      </w:r>
    </w:p>
    <w:p>
      <w:pPr>
        <w:spacing w:after="0" w:line="9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454546"/>
        </w:rPr>
        <w:t>With respect to the Discovery Programs, the Company will lead discovery and early research activities through the successful completion of dose finding toxicity studies for the identified compounds. The Company may, in its sole discretion, opt-in on a program-by-program basis after the successful completion of dose finding toxicity to participate in the further development and commercialization efforts of the Discovery Program compounds. If the Company opts-in to the development and commercialization of the Discovery Program compounds, it will be eligible to receive milestone payments of up to $10.0 million per program upon specified research and development milestones and up to $180.0 million per program upon achievement of specified regulatory and commercial milestones and will also be eligible to share in the U.S. profits at pre-determined percentages on product sales. The Company would also be eligible to receive tiered Ex-U.S. royalty rates, calculated on a product-by-product and country-by-country basis, on net sales outside of the United States, if any, ranging from low single digits to low double digits, but less then teens. If the Company does not opt-in to further development and commercialization efforts for the Discovery Programs, it will be eligible to receive milestone payments of up to $70.0 million per program upon specified research and development milestones and up to $360.0 million per program upon achievement of specified regulatory and commercial milestones per approved product, if any. The Company would also be eligible to receive tiered royalties on net sales of products worldwide at royalty rates ranging from low single digits to low double digits, but less than teens.</w:t>
      </w:r>
    </w:p>
    <w:p>
      <w:pPr>
        <w:sectPr>
          <w:pgSz w:w="11880" w:h="15480" w:orient="portrait"/>
          <w:cols w:equalWidth="0" w:num="1">
            <w:col w:w="10240"/>
          </w:cols>
          <w:pgMar w:left="820" w:top="504" w:right="82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90</w:t>
      </w:r>
    </w:p>
    <w:p>
      <w:pPr>
        <w:sectPr>
          <w:pgSz w:w="11880" w:h="15480" w:orient="portrait"/>
          <w:cols w:equalWidth="0" w:num="1">
            <w:col w:w="10240"/>
          </w:cols>
          <w:pgMar w:left="820" w:top="504" w:right="820" w:bottom="0" w:gutter="0" w:footer="0" w:header="0"/>
          <w:type w:val="continuous"/>
        </w:sectPr>
      </w:pPr>
    </w:p>
    <w:bookmarkStart w:id="92" w:name="page93"/>
    <w:bookmarkEnd w:id="92"/>
    <w:p>
      <w:pPr>
        <w:ind w:right="100"/>
        <w:spacing w:after="0" w:line="255" w:lineRule="auto"/>
        <w:rPr>
          <w:sz w:val="20"/>
          <w:szCs w:val="20"/>
          <w:color w:val="auto"/>
        </w:rPr>
      </w:pPr>
      <w:r>
        <w:rPr>
          <w:rFonts w:ascii="Times New Roman" w:cs="Times New Roman" w:eastAsia="Times New Roman" w:hAnsi="Times New Roman"/>
          <w:sz w:val="20"/>
          <w:szCs w:val="20"/>
          <w:color w:val="454546"/>
        </w:rPr>
        <w:t>Lilly has the right to make substitutions for each of the five targets during the research term of each program, subject to certain limitations. Pursuant to the Lilly Collaboration Agreement, the Company will also participate in joint decision-making through the joint steering committee and subcommittees. Unless terminated earlier, the Lilly Collaboration Agreement will continue on a product-by-product basis until the expiration of all royalty obligations under the Lilly Collaboration Agreement and when neither the Company nor Lilly is developing, commercializing or manufacturing any product under the Lilly Collaboration Agreement. The Company or Lilly may terminate the Lilly Collaboration Agreement upon an uncured material breach by the other party. Lilly may also terminate the Lilly Collaboration Agreement in its entirety or on a target-by-target, program-by-program or product-by-product basis for any reason upon certain notice to the Company.</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454546"/>
        </w:rPr>
        <w:t>Under the terms of the Lilly Collaboration Agreement, Lilly agreed to make a nonrefundable upfront payment of $300.0 million to the Company within thirty (30) business days following the effective date of the agreement. Simultaneously with the execution of the Lilly Collaboration Agreement, the Company and Lilly entered into a stock purchase agreement with Lilly (the “Lilly SPA”), pursuant to which Lilly purchased 4,000,000 shares of the Company’s common stock at $20.00 per share, for an aggregate purchase price of $80.0 million.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454546"/>
        </w:rPr>
        <w:t xml:space="preserve">The Company determined that the Lilly Collaboration Agreement and the Lilly SPA should be evaluated as a combined contract in accordance with ASC 606. The Company determined the fair value of the shares sold under the Lilly SPA to be $37.8 million less than the contractual purchase price stipulated in the Lilly SPA. In accordance with the applicable accounting guidance in ASC 815-40, </w:t>
      </w:r>
      <w:r>
        <w:rPr>
          <w:rFonts w:ascii="Times New Roman" w:cs="Times New Roman" w:eastAsia="Times New Roman" w:hAnsi="Times New Roman"/>
          <w:sz w:val="20"/>
          <w:szCs w:val="20"/>
          <w:i w:val="1"/>
          <w:iCs w:val="1"/>
          <w:color w:val="454546"/>
        </w:rPr>
        <w:t>Contracts in Entity’s Own Equity</w:t>
      </w:r>
      <w:r>
        <w:rPr>
          <w:rFonts w:ascii="Times New Roman" w:cs="Times New Roman" w:eastAsia="Times New Roman" w:hAnsi="Times New Roman"/>
          <w:sz w:val="20"/>
          <w:szCs w:val="20"/>
          <w:color w:val="454546"/>
        </w:rPr>
        <w:t>, the Company determined that the sale of stock should be recorded at fair value and therefore allocated the excess consideration received under the Lilly SPA to the Lilly Collaboration Agreement, which along with the non-refundable payment of $300.0 million will be recognized as revenue over the total estimated period of performance.</w:t>
      </w:r>
    </w:p>
    <w:p>
      <w:pPr>
        <w:spacing w:after="0" w:line="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454546"/>
        </w:rPr>
        <w:t>The Company accounted for the arrangement under ASC 606 as the Company concluded it has a customer relationship with Lilly. The Company determined that: (1) the research activities performed by the Company for both the Joint Programs and the Discovery Programs, (2) the development activities and cost sharing for the Joint Program development efforts after dose finding toxicity until registrational clinical trials, (3) the research, development, manufacture and commercialization licenses, and (4) service on the joint steering committee and subcommittees represent a single performance obligation under the Lilly Collaboration Agreement. The Company determined that Lilly cannot benefit from the licenses separately from the research activities, the development activities until registrational clinical trials and participation on the joint steering committee and subcommittees because these services are specialized and rely on the Company’s expertise such that these activities are highly interrelated and therefore not distinct. Accordingly, the promised goods and services represent one combined performance obligation, and the entire transaction price was allocated to that single combined performance obligation. The performance obligation will be satisfied over time as the Company performs the research activities, participates and shares in the cost of the development activities for the Joint Programs and participates in a joint steering committee and subcommittees to oversee these activities.</w:t>
      </w:r>
    </w:p>
    <w:p>
      <w:pPr>
        <w:spacing w:after="0" w:line="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454546"/>
        </w:rPr>
        <w:t>The Company’s options to share in further development and commercialization efforts via its opt-in/opt-out rights will be assessed and accounted for as separate units of accounting under the relevant guidance if, and when, such options are exercised by the Company.</w:t>
      </w:r>
    </w:p>
    <w:p>
      <w:pPr>
        <w:spacing w:after="0" w:line="70"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20"/>
          <w:szCs w:val="20"/>
          <w:color w:val="454546"/>
        </w:rPr>
        <w:t>During the third quarter of 2023, the Company transitioned the SMARCA2 (BRM) Selective inhibitor, FHD-909, into development activities for which Lilly leads and the Company participates and shares in 50% of the costs until at least registrational trials. Costs incurred will continue to be included in research and development expenses on the consolidated statements of operations and comprehensive loss.</w:t>
      </w:r>
    </w:p>
    <w:p>
      <w:pPr>
        <w:spacing w:after="0" w:line="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454546"/>
        </w:rPr>
        <w:t>The transaction price of $337.8 million was initially recorded as deferred revenue and is being recognized as revenue as the performance obligation is satisfied. The Company recognizes revenue using the cost-to-cost method, which it believes best depicts the transfer of control to the customer over time. Under the cost-to-cost method, the extent of progress towards completion is measured based on the ratio of actual costs incurred to the total estimated costs expected upon satisfying the identified performance obligation. Under this method, revenue is recorded as a percentage of the estimated transaction price based on the extent of progress towards completion. As of December 31, 2025, the potential research, development and regulatory milestone payments that the Company is eligible to receive were excluded from the transaction price as they were fully constrained by uncertain events. The Company will reevaluate the transaction price at the end of each reporting period and as uncertain events are resolved or other changes in circumstances occur, and if necessary, the Company will adjust its estimate of the transaction price. Any additions to the transaction price would be reflected in the period as a cumulative revenue catch-up based on the ratio of costs incurred to the total estimated costs expected applied to the revised transaction price. Sales-based royalties and milestone payments, which predominantly relate to the license, will be recognized if and when the related sales occur.</w:t>
      </w:r>
    </w:p>
    <w:p>
      <w:pPr>
        <w:spacing w:after="0" w:line="88"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9"/>
          <w:szCs w:val="19"/>
          <w:color w:val="454546"/>
        </w:rPr>
        <w:t>As of December 31, 2025, the aggregate amount of the transaction price related to the unsatisfied portion of the performance obligation was $249.2 million, which is expected to be recognized as revenue through 2029 or beyond depending on the timing</w:t>
      </w:r>
    </w:p>
    <w:p>
      <w:pPr>
        <w:sectPr>
          <w:pgSz w:w="11880" w:h="15480" w:orient="portrait"/>
          <w:cols w:equalWidth="0" w:num="1">
            <w:col w:w="10240"/>
          </w:cols>
          <w:pgMar w:left="820" w:top="504" w:right="82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91</w:t>
      </w:r>
    </w:p>
    <w:p>
      <w:pPr>
        <w:sectPr>
          <w:pgSz w:w="11880" w:h="15480" w:orient="portrait"/>
          <w:cols w:equalWidth="0" w:num="1">
            <w:col w:w="10240"/>
          </w:cols>
          <w:pgMar w:left="820" w:top="504" w:right="820" w:bottom="0" w:gutter="0" w:footer="0" w:header="0"/>
          <w:type w:val="continuous"/>
        </w:sectPr>
      </w:pPr>
    </w:p>
    <w:bookmarkStart w:id="93" w:name="page94"/>
    <w:bookmarkEnd w:id="93"/>
    <w:p>
      <w:pPr>
        <w:ind w:right="80"/>
        <w:spacing w:after="0" w:line="254" w:lineRule="auto"/>
        <w:rPr>
          <w:sz w:val="20"/>
          <w:szCs w:val="20"/>
          <w:color w:val="auto"/>
        </w:rPr>
      </w:pPr>
      <w:r>
        <w:rPr>
          <w:rFonts w:ascii="Times New Roman" w:cs="Times New Roman" w:eastAsia="Times New Roman" w:hAnsi="Times New Roman"/>
          <w:sz w:val="20"/>
          <w:szCs w:val="20"/>
          <w:color w:val="454546"/>
        </w:rPr>
        <w:t>of certain clinical development activities. The Company does not expect collaboration revenue to be recognized evenly over this period as it will be recognized on a percentage of completion basis (using cost-to-cost method) as the Company performs the research and development activities and participates on the joint steering committee and subcommittees, which will likely vary from period to period. In estimating the total costs to satisfy its single performance obligation pursuant to the Lilly Collaboration Agreement, the Company is required to make significant estimates including the expected time and expected costs to fulfill the performance obligation. If estimates of the total estimated cost change, or if contract amendments change the scope of the performance obligations, the impacts could be material. The cumulative effect of revisions to the total estimated costs to complete the Company’s single performance obligation will be recorded in the period in which the changes are identified, and amounts can be reasonably estimated. A significant change in these assumptions and estimates could have a material impact on the timing and amount of revenue recognized in future periods and the classification of deferred revenue between short-term and long-term.</w:t>
      </w:r>
    </w:p>
    <w:p>
      <w:pPr>
        <w:spacing w:after="0" w:line="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color w:val="454546"/>
        </w:rPr>
        <w:t>For the years ended December 31, 2025 and 2024, the Company recorded $30.9 million and $22.6 million, respectively, of revenue under the Lilly Collaboration Agreement, which was included in deferred revenue at the beginning of the respective periods. As of December 31, 2025 and 2024, the Company had a payable to Lilly of $1.0 million and $0.6 million, respectively, recorded in accrued expenses and other current liabilities on the Company’s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9. Income Taxes</w:t>
      </w:r>
    </w:p>
    <w:p>
      <w:pPr>
        <w:spacing w:after="0" w:line="13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454546"/>
        </w:rPr>
        <w:t>For the years ended December 31, 2025 and 2024 the Company recorded no income tax benefits for the net deferred tax assets comprised primarily of net operating losses incurred and research and development tax credits generated in each year, due to its uncertainty of realizing a benefit from these items.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All of the Company’s operating losses since inception have been generated in the United States.</w:t>
      </w:r>
    </w:p>
    <w:p>
      <w:pPr>
        <w:spacing w:after="0" w:line="130"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color w:val="454546"/>
        </w:rPr>
        <w:t>A reconciliation of the U.S. federal statutory income tax rate of 21% to the Company’s effective income tax rate, post the adoption of ASU 2023-09, is as follows (in thousands, except percentages):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2460" w:type="dxa"/>
            <w:vAlign w:val="bottom"/>
            <w:tcBorders>
              <w:bottom w:val="single" w:sz="8" w:color="231F20"/>
            </w:tcBorders>
            <w:gridSpan w:val="4"/>
          </w:tcPr>
          <w:p>
            <w:pPr>
              <w:jc w:val="right"/>
              <w:ind w:right="183"/>
              <w:spacing w:after="0"/>
              <w:rPr>
                <w:sz w:val="20"/>
                <w:szCs w:val="20"/>
                <w:color w:val="auto"/>
              </w:rPr>
            </w:pPr>
            <w:r>
              <w:rPr>
                <w:rFonts w:ascii="Times New Roman" w:cs="Times New Roman" w:eastAsia="Times New Roman" w:hAnsi="Times New Roman"/>
                <w:sz w:val="16"/>
                <w:szCs w:val="16"/>
                <w:b w:val="1"/>
                <w:bCs w:val="1"/>
                <w:color w:val="454546"/>
              </w:rPr>
              <w:t>Year Ended December 31, 2025</w:t>
            </w:r>
          </w:p>
        </w:tc>
      </w:tr>
      <w:tr>
        <w:trPr>
          <w:trHeight w:val="234"/>
        </w:trPr>
        <w:tc>
          <w:tcPr>
            <w:tcW w:w="40" w:type="dxa"/>
            <w:vAlign w:val="bottom"/>
            <w:tcBorders>
              <w:bottom w:val="single" w:sz="8" w:color="E3E4E5"/>
            </w:tcBorders>
          </w:tcPr>
          <w:p>
            <w:pPr>
              <w:spacing w:after="0"/>
              <w:rPr>
                <w:sz w:val="20"/>
                <w:szCs w:val="20"/>
                <w:color w:val="auto"/>
              </w:rPr>
            </w:pPr>
          </w:p>
        </w:tc>
        <w:tc>
          <w:tcPr>
            <w:tcW w:w="7460" w:type="dxa"/>
            <w:vAlign w:val="bottom"/>
            <w:tcBorders>
              <w:bottom w:val="single" w:sz="8" w:color="E3E4E5"/>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454546"/>
              </w:rPr>
              <w:t>Amount</w:t>
            </w:r>
          </w:p>
        </w:tc>
        <w:tc>
          <w:tcPr>
            <w:tcW w:w="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30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454546"/>
              </w:rPr>
              <w:t>Percent</w:t>
            </w:r>
          </w:p>
        </w:tc>
      </w:tr>
      <w:tr>
        <w:trPr>
          <w:trHeight w:val="275"/>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Income taxes at U.S. federal statutory rate</w:t>
            </w:r>
          </w:p>
        </w:tc>
        <w:tc>
          <w:tcPr>
            <w:tcW w:w="4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(15,600)</w:t>
            </w:r>
          </w:p>
        </w:tc>
        <w:tc>
          <w:tcPr>
            <w:tcW w:w="60" w:type="dxa"/>
            <w:vAlign w:val="bottom"/>
            <w:tcBorders>
              <w:bottom w:val="single" w:sz="8" w:color="E3E4E5"/>
            </w:tcBorders>
            <w:shd w:val="clear" w:color="auto" w:fill="E3E4E5"/>
          </w:tcPr>
          <w:p>
            <w:pPr>
              <w:spacing w:after="0"/>
              <w:rPr>
                <w:sz w:val="23"/>
                <w:szCs w:val="23"/>
                <w:color w:val="auto"/>
              </w:rPr>
            </w:pPr>
          </w:p>
        </w:tc>
        <w:tc>
          <w:tcPr>
            <w:tcW w:w="20" w:type="dxa"/>
            <w:vAlign w:val="bottom"/>
            <w:tcBorders>
              <w:bottom w:val="single" w:sz="8" w:color="E3E4E5"/>
            </w:tcBorders>
            <w:shd w:val="clear" w:color="auto" w:fill="E3E4E5"/>
          </w:tcPr>
          <w:p>
            <w:pPr>
              <w:spacing w:after="0"/>
              <w:rPr>
                <w:sz w:val="23"/>
                <w:szCs w:val="23"/>
                <w:color w:val="auto"/>
              </w:rPr>
            </w:pPr>
          </w:p>
        </w:tc>
        <w:tc>
          <w:tcPr>
            <w:tcW w:w="13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21.0 %</w:t>
            </w:r>
          </w:p>
        </w:tc>
      </w:tr>
      <w:tr>
        <w:trPr>
          <w:trHeight w:val="307"/>
        </w:trPr>
        <w:tc>
          <w:tcPr>
            <w:tcW w:w="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20"/>
                <w:szCs w:val="20"/>
                <w:color w:val="454546"/>
              </w:rPr>
              <w:t>State income taxes, net of federal benefit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454546"/>
              </w:rPr>
              <w:t>—</w:t>
            </w:r>
          </w:p>
        </w:tc>
      </w:tr>
      <w:tr>
        <w:trPr>
          <w:trHeight w:val="304"/>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Nontaxable or nondeductible items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1300" w:type="dxa"/>
            <w:vAlign w:val="bottom"/>
            <w:tcBorders>
              <w:bottom w:val="single" w:sz="8" w:color="E3E4E5"/>
            </w:tcBorders>
            <w:shd w:val="clear" w:color="auto" w:fill="E3E4E5"/>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75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1,142</w:t>
            </w:r>
          </w:p>
        </w:tc>
        <w:tc>
          <w:tcPr>
            <w:tcW w:w="1380" w:type="dxa"/>
            <w:vAlign w:val="bottom"/>
            <w:gridSpan w:val="3"/>
          </w:tcPr>
          <w:p>
            <w:pPr>
              <w:jc w:val="right"/>
              <w:ind w:right="83"/>
              <w:spacing w:after="0"/>
              <w:rPr>
                <w:sz w:val="20"/>
                <w:szCs w:val="20"/>
                <w:color w:val="auto"/>
              </w:rPr>
            </w:pPr>
            <w:r>
              <w:rPr>
                <w:rFonts w:ascii="Times New Roman" w:cs="Times New Roman" w:eastAsia="Times New Roman" w:hAnsi="Times New Roman"/>
                <w:sz w:val="20"/>
                <w:szCs w:val="20"/>
                <w:color w:val="454546"/>
              </w:rPr>
              <w:t>(1.5)</w:t>
            </w:r>
          </w:p>
        </w:tc>
      </w:tr>
      <w:tr>
        <w:trPr>
          <w:trHeight w:val="302"/>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Limitation on executive compensation</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811</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1300" w:type="dxa"/>
            <w:vAlign w:val="bottom"/>
            <w:tcBorders>
              <w:bottom w:val="single" w:sz="8" w:color="E3E4E5"/>
            </w:tcBorders>
            <w:shd w:val="clear" w:color="auto" w:fill="E3E4E5"/>
          </w:tcPr>
          <w:p>
            <w:pPr>
              <w:jc w:val="right"/>
              <w:ind w:right="83"/>
              <w:spacing w:after="0"/>
              <w:rPr>
                <w:sz w:val="20"/>
                <w:szCs w:val="20"/>
                <w:color w:val="auto"/>
              </w:rPr>
            </w:pPr>
            <w:r>
              <w:rPr>
                <w:rFonts w:ascii="Times New Roman" w:cs="Times New Roman" w:eastAsia="Times New Roman" w:hAnsi="Times New Roman"/>
                <w:sz w:val="20"/>
                <w:szCs w:val="20"/>
                <w:color w:val="454546"/>
              </w:rPr>
              <w:t>(1.1)</w:t>
            </w:r>
          </w:p>
        </w:tc>
      </w:tr>
      <w:tr>
        <w:trPr>
          <w:trHeight w:val="307"/>
        </w:trPr>
        <w:tc>
          <w:tcPr>
            <w:tcW w:w="40" w:type="dxa"/>
            <w:vAlign w:val="bottom"/>
          </w:tcPr>
          <w:p>
            <w:pPr>
              <w:spacing w:after="0"/>
              <w:rPr>
                <w:sz w:val="24"/>
                <w:szCs w:val="24"/>
                <w:color w:val="auto"/>
              </w:rPr>
            </w:pPr>
          </w:p>
        </w:tc>
        <w:tc>
          <w:tcPr>
            <w:tcW w:w="75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Other</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88</w:t>
            </w:r>
          </w:p>
        </w:tc>
        <w:tc>
          <w:tcPr>
            <w:tcW w:w="1380" w:type="dxa"/>
            <w:vAlign w:val="bottom"/>
            <w:gridSpan w:val="3"/>
          </w:tcPr>
          <w:p>
            <w:pPr>
              <w:jc w:val="right"/>
              <w:ind w:right="83"/>
              <w:spacing w:after="0"/>
              <w:rPr>
                <w:sz w:val="20"/>
                <w:szCs w:val="20"/>
                <w:color w:val="auto"/>
              </w:rPr>
            </w:pPr>
            <w:r>
              <w:rPr>
                <w:rFonts w:ascii="Times New Roman" w:cs="Times New Roman" w:eastAsia="Times New Roman" w:hAnsi="Times New Roman"/>
                <w:sz w:val="20"/>
                <w:szCs w:val="20"/>
                <w:color w:val="454546"/>
              </w:rPr>
              <w:t>(0.1)</w:t>
            </w:r>
          </w:p>
        </w:tc>
      </w:tr>
      <w:tr>
        <w:trPr>
          <w:trHeight w:val="304"/>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Tax Credits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1300" w:type="dxa"/>
            <w:vAlign w:val="bottom"/>
            <w:tcBorders>
              <w:bottom w:val="single" w:sz="8" w:color="E3E4E5"/>
            </w:tcBorders>
            <w:shd w:val="clear" w:color="auto" w:fill="E3E4E5"/>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75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454546"/>
              </w:rPr>
              <w:t>Federal research and development tax credits</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(2,242)</w:t>
            </w:r>
          </w:p>
        </w:tc>
        <w:tc>
          <w:tcPr>
            <w:tcW w:w="1380" w:type="dxa"/>
            <w:vAlign w:val="bottom"/>
            <w:gridSpan w:val="3"/>
          </w:tcPr>
          <w:p>
            <w:pPr>
              <w:jc w:val="right"/>
              <w:ind w:right="143"/>
              <w:spacing w:after="0"/>
              <w:rPr>
                <w:sz w:val="20"/>
                <w:szCs w:val="20"/>
                <w:color w:val="auto"/>
              </w:rPr>
            </w:pPr>
            <w:r>
              <w:rPr>
                <w:rFonts w:ascii="Times New Roman" w:cs="Times New Roman" w:eastAsia="Times New Roman" w:hAnsi="Times New Roman"/>
                <w:sz w:val="20"/>
                <w:szCs w:val="20"/>
                <w:color w:val="454546"/>
              </w:rPr>
              <w:t>3.0</w:t>
            </w:r>
          </w:p>
        </w:tc>
      </w:tr>
      <w:tr>
        <w:trPr>
          <w:trHeight w:val="302"/>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Change in valuation allowance</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15,803</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1300" w:type="dxa"/>
            <w:vAlign w:val="bottom"/>
            <w:tcBorders>
              <w:bottom w:val="single" w:sz="8" w:color="E3E4E5"/>
            </w:tcBorders>
            <w:shd w:val="clear" w:color="auto" w:fill="E3E4E5"/>
          </w:tcPr>
          <w:p>
            <w:pPr>
              <w:jc w:val="right"/>
              <w:ind w:right="83"/>
              <w:spacing w:after="0"/>
              <w:rPr>
                <w:sz w:val="20"/>
                <w:szCs w:val="20"/>
                <w:color w:val="auto"/>
              </w:rPr>
            </w:pPr>
            <w:r>
              <w:rPr>
                <w:rFonts w:ascii="Times New Roman" w:cs="Times New Roman" w:eastAsia="Times New Roman" w:hAnsi="Times New Roman"/>
                <w:sz w:val="20"/>
                <w:szCs w:val="20"/>
                <w:color w:val="454546"/>
              </w:rPr>
              <w:t>(21.3)</w:t>
            </w:r>
          </w:p>
        </w:tc>
      </w:tr>
      <w:tr>
        <w:trPr>
          <w:trHeight w:val="315"/>
        </w:trPr>
        <w:tc>
          <w:tcPr>
            <w:tcW w:w="40" w:type="dxa"/>
            <w:vAlign w:val="bottom"/>
            <w:tcBorders>
              <w:bottom w:val="single" w:sz="8" w:color="E3E4E5"/>
            </w:tcBorders>
          </w:tcPr>
          <w:p>
            <w:pPr>
              <w:spacing w:after="0"/>
              <w:rPr>
                <w:sz w:val="24"/>
                <w:szCs w:val="24"/>
                <w:color w:val="auto"/>
              </w:rPr>
            </w:pPr>
          </w:p>
        </w:tc>
        <w:tc>
          <w:tcPr>
            <w:tcW w:w="7520" w:type="dxa"/>
            <w:vAlign w:val="bottom"/>
            <w:tcBorders>
              <w:bottom w:val="single" w:sz="8" w:color="E3E4E5"/>
            </w:tcBorders>
            <w:gridSpan w:val="3"/>
          </w:tcPr>
          <w:p>
            <w:pPr>
              <w:spacing w:after="0"/>
              <w:rPr>
                <w:sz w:val="20"/>
                <w:szCs w:val="20"/>
                <w:color w:val="auto"/>
              </w:rPr>
            </w:pPr>
            <w:r>
              <w:rPr>
                <w:rFonts w:ascii="Times New Roman" w:cs="Times New Roman" w:eastAsia="Times New Roman" w:hAnsi="Times New Roman"/>
                <w:sz w:val="20"/>
                <w:szCs w:val="20"/>
                <w:color w:val="454546"/>
              </w:rPr>
              <w:t>Other adjustments</w:t>
            </w:r>
          </w:p>
        </w:tc>
        <w:tc>
          <w:tcPr>
            <w:tcW w:w="2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3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20"/>
                <w:szCs w:val="20"/>
                <w:color w:val="454546"/>
              </w:rPr>
              <w:t>—</w:t>
            </w:r>
          </w:p>
        </w:tc>
      </w:tr>
      <w:tr>
        <w:trPr>
          <w:trHeight w:val="298"/>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Income tax expense and effective income tax rate</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1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13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0.0 %</w:t>
            </w: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r>
    </w:tbl>
    <w:p>
      <w:pPr>
        <w:spacing w:after="0" w:line="71"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20"/>
          <w:szCs w:val="20"/>
          <w:color w:val="454546"/>
        </w:rPr>
        <w:t>For the year ended December 31, 2025, state income taxes in Massachusetts make up the majority (greater than 50%) of the state income taxes, net of federal benefit category.</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454546"/>
        </w:rPr>
        <w:t>A reconciliation of the U.S. federal statutory income tax rate of 21% to the Company’s effective income tax rate, prior to the adoption of ASU 2023-09, is as follows:</w:t>
      </w:r>
    </w:p>
    <w:p>
      <w:pPr>
        <w:spacing w:after="0" w:line="13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454546"/>
        </w:rPr>
        <w:t>Year Ended December 31,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0" w:type="dxa"/>
            <w:vAlign w:val="bottom"/>
            <w:tcBorders>
              <w:top w:val="single" w:sz="8" w:color="E3E4E5"/>
              <w:bottom w:val="single" w:sz="8" w:color="E3E4E5"/>
            </w:tcBorders>
            <w:shd w:val="clear" w:color="auto" w:fill="E3E4E5"/>
          </w:tcPr>
          <w:p>
            <w:pPr>
              <w:spacing w:after="0"/>
              <w:rPr>
                <w:sz w:val="23"/>
                <w:szCs w:val="23"/>
                <w:color w:val="auto"/>
              </w:rPr>
            </w:pPr>
          </w:p>
        </w:tc>
        <w:tc>
          <w:tcPr>
            <w:tcW w:w="7900" w:type="dxa"/>
            <w:vAlign w:val="bottom"/>
            <w:tcBorders>
              <w:top w:val="single" w:sz="8" w:color="E3E4E5"/>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Income taxes at U.S. federal statutory rate</w:t>
            </w:r>
          </w:p>
        </w:tc>
        <w:tc>
          <w:tcPr>
            <w:tcW w:w="60" w:type="dxa"/>
            <w:vAlign w:val="bottom"/>
            <w:tcBorders>
              <w:top w:val="single" w:sz="8" w:color="E3E4E5"/>
              <w:bottom w:val="single" w:sz="8" w:color="E3E4E5"/>
            </w:tcBorders>
            <w:gridSpan w:val="2"/>
            <w:shd w:val="clear" w:color="auto" w:fill="E3E4E5"/>
          </w:tcPr>
          <w:p>
            <w:pPr>
              <w:spacing w:after="0"/>
              <w:rPr>
                <w:sz w:val="23"/>
                <w:szCs w:val="23"/>
                <w:color w:val="auto"/>
              </w:rPr>
            </w:pPr>
          </w:p>
        </w:tc>
        <w:tc>
          <w:tcPr>
            <w:tcW w:w="2080" w:type="dxa"/>
            <w:vAlign w:val="bottom"/>
            <w:tcBorders>
              <w:top w:val="single" w:sz="8" w:color="231F20"/>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21.0</w:t>
            </w:r>
          </w:p>
        </w:tc>
        <w:tc>
          <w:tcPr>
            <w:tcW w:w="180" w:type="dxa"/>
            <w:vAlign w:val="bottom"/>
            <w:tcBorders>
              <w:top w:val="single" w:sz="8" w:color="231F20"/>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w w:val="83"/>
              </w:rPr>
              <w:t>%</w:t>
            </w:r>
          </w:p>
        </w:tc>
      </w:tr>
      <w:tr>
        <w:trPr>
          <w:trHeight w:val="271"/>
        </w:trPr>
        <w:tc>
          <w:tcPr>
            <w:tcW w:w="40" w:type="dxa"/>
            <w:vAlign w:val="bottom"/>
          </w:tcPr>
          <w:p>
            <w:pPr>
              <w:spacing w:after="0"/>
              <w:rPr>
                <w:sz w:val="23"/>
                <w:szCs w:val="2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0"/>
                <w:szCs w:val="20"/>
                <w:color w:val="454546"/>
              </w:rPr>
              <w:t>State income taxes, net of federal benefit</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4.8</w:t>
            </w:r>
          </w:p>
        </w:tc>
        <w:tc>
          <w:tcPr>
            <w:tcW w:w="180" w:type="dxa"/>
            <w:vAlign w:val="bottom"/>
          </w:tcPr>
          <w:p>
            <w:pPr>
              <w:spacing w:after="0"/>
              <w:rPr>
                <w:sz w:val="23"/>
                <w:szCs w:val="23"/>
                <w:color w:val="auto"/>
              </w:rPr>
            </w:pPr>
          </w:p>
        </w:tc>
      </w:tr>
      <w:tr>
        <w:trPr>
          <w:trHeight w:val="29"/>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r>
      <w:tr>
        <w:trPr>
          <w:trHeight w:val="280"/>
        </w:trPr>
        <w:tc>
          <w:tcPr>
            <w:tcW w:w="40" w:type="dxa"/>
            <w:vAlign w:val="bottom"/>
            <w:tcBorders>
              <w:bottom w:val="single" w:sz="8" w:color="E3E4E5"/>
            </w:tcBorders>
            <w:shd w:val="clear" w:color="auto" w:fill="E3E4E5"/>
          </w:tcPr>
          <w:p>
            <w:pPr>
              <w:spacing w:after="0"/>
              <w:rPr>
                <w:sz w:val="24"/>
                <w:szCs w:val="24"/>
                <w:color w:val="auto"/>
              </w:rPr>
            </w:pPr>
          </w:p>
        </w:tc>
        <w:tc>
          <w:tcPr>
            <w:tcW w:w="790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Federal and state research and development tax credits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20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4.9</w:t>
            </w:r>
          </w:p>
        </w:tc>
        <w:tc>
          <w:tcPr>
            <w:tcW w:w="180" w:type="dxa"/>
            <w:vAlign w:val="bottom"/>
            <w:tcBorders>
              <w:bottom w:val="single" w:sz="8" w:color="E3E4E5"/>
            </w:tcBorders>
            <w:shd w:val="clear" w:color="auto" w:fill="E3E4E5"/>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0"/>
                <w:szCs w:val="20"/>
                <w:color w:val="454546"/>
              </w:rPr>
              <w:t>Stock-based compensation expense</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(0.9)</w:t>
            </w:r>
          </w:p>
        </w:tc>
        <w:tc>
          <w:tcPr>
            <w:tcW w:w="180" w:type="dxa"/>
            <w:vAlign w:val="bottom"/>
          </w:tcPr>
          <w:p>
            <w:pPr>
              <w:spacing w:after="0"/>
              <w:rPr>
                <w:sz w:val="23"/>
                <w:szCs w:val="23"/>
                <w:color w:val="auto"/>
              </w:rPr>
            </w:pPr>
          </w:p>
        </w:tc>
      </w:tr>
      <w:tr>
        <w:trPr>
          <w:trHeight w:val="29"/>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r>
      <w:tr>
        <w:trPr>
          <w:trHeight w:val="280"/>
        </w:trPr>
        <w:tc>
          <w:tcPr>
            <w:tcW w:w="40" w:type="dxa"/>
            <w:vAlign w:val="bottom"/>
            <w:tcBorders>
              <w:bottom w:val="single" w:sz="8" w:color="E3E4E5"/>
            </w:tcBorders>
            <w:shd w:val="clear" w:color="auto" w:fill="E3E4E5"/>
          </w:tcPr>
          <w:p>
            <w:pPr>
              <w:spacing w:after="0"/>
              <w:rPr>
                <w:sz w:val="24"/>
                <w:szCs w:val="24"/>
                <w:color w:val="auto"/>
              </w:rPr>
            </w:pPr>
          </w:p>
        </w:tc>
        <w:tc>
          <w:tcPr>
            <w:tcW w:w="790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Nondeductible/nontaxable permanent items</w:t>
            </w:r>
          </w:p>
        </w:tc>
        <w:tc>
          <w:tcPr>
            <w:tcW w:w="2140" w:type="dxa"/>
            <w:vAlign w:val="bottom"/>
            <w:tcBorders>
              <w:bottom w:val="single" w:sz="8" w:color="E3E4E5"/>
            </w:tcBorders>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(0.1)</w:t>
            </w:r>
          </w:p>
        </w:tc>
        <w:tc>
          <w:tcPr>
            <w:tcW w:w="180" w:type="dxa"/>
            <w:vAlign w:val="bottom"/>
            <w:tcBorders>
              <w:bottom w:val="single" w:sz="8" w:color="E3E4E5"/>
            </w:tcBorders>
            <w:shd w:val="clear" w:color="auto" w:fill="E3E4E5"/>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0"/>
                <w:szCs w:val="20"/>
                <w:color w:val="454546"/>
              </w:rPr>
              <w:t>Other</w:t>
            </w: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54546"/>
              </w:rPr>
              <w:t>(2.6)</w:t>
            </w:r>
          </w:p>
        </w:tc>
        <w:tc>
          <w:tcPr>
            <w:tcW w:w="180" w:type="dxa"/>
            <w:vAlign w:val="bottom"/>
          </w:tcPr>
          <w:p>
            <w:pPr>
              <w:spacing w:after="0"/>
              <w:rPr>
                <w:sz w:val="23"/>
                <w:szCs w:val="23"/>
                <w:color w:val="auto"/>
              </w:rPr>
            </w:pPr>
          </w:p>
        </w:tc>
      </w:tr>
      <w:tr>
        <w:trPr>
          <w:trHeight w:val="29"/>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r>
      <w:tr>
        <w:trPr>
          <w:trHeight w:val="325"/>
        </w:trPr>
        <w:tc>
          <w:tcPr>
            <w:tcW w:w="40" w:type="dxa"/>
            <w:vAlign w:val="bottom"/>
            <w:tcBorders>
              <w:bottom w:val="single" w:sz="8" w:color="E3E4E5"/>
            </w:tcBorders>
            <w:shd w:val="clear" w:color="auto" w:fill="E3E4E5"/>
          </w:tcPr>
          <w:p>
            <w:pPr>
              <w:spacing w:after="0"/>
              <w:rPr>
                <w:sz w:val="24"/>
                <w:szCs w:val="24"/>
                <w:color w:val="auto"/>
              </w:rPr>
            </w:pPr>
          </w:p>
        </w:tc>
        <w:tc>
          <w:tcPr>
            <w:tcW w:w="790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Change in valuation allowance</w:t>
            </w:r>
          </w:p>
        </w:tc>
        <w:tc>
          <w:tcPr>
            <w:tcW w:w="2140" w:type="dxa"/>
            <w:vAlign w:val="bottom"/>
            <w:tcBorders>
              <w:bottom w:val="single" w:sz="8" w:color="E3E4E5"/>
            </w:tcBorders>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(27.1)</w:t>
            </w:r>
          </w:p>
        </w:tc>
        <w:tc>
          <w:tcPr>
            <w:tcW w:w="180" w:type="dxa"/>
            <w:vAlign w:val="bottom"/>
            <w:tcBorders>
              <w:bottom w:val="single" w:sz="8" w:color="E3E4E5"/>
            </w:tcBorders>
            <w:shd w:val="clear" w:color="auto" w:fill="E3E4E5"/>
          </w:tcPr>
          <w:p>
            <w:pPr>
              <w:spacing w:after="0"/>
              <w:rPr>
                <w:sz w:val="24"/>
                <w:szCs w:val="24"/>
                <w:color w:val="auto"/>
              </w:rPr>
            </w:pPr>
          </w:p>
        </w:tc>
      </w:tr>
      <w:tr>
        <w:trPr>
          <w:trHeight w:val="262"/>
        </w:trPr>
        <w:tc>
          <w:tcPr>
            <w:tcW w:w="40" w:type="dxa"/>
            <w:vAlign w:val="bottom"/>
            <w:tcBorders>
              <w:top w:val="single" w:sz="8" w:color="E3E4E5"/>
            </w:tcBorders>
          </w:tcPr>
          <w:p>
            <w:pPr>
              <w:spacing w:after="0"/>
              <w:rPr>
                <w:sz w:val="22"/>
                <w:szCs w:val="22"/>
                <w:color w:val="auto"/>
              </w:rPr>
            </w:pPr>
          </w:p>
        </w:tc>
        <w:tc>
          <w:tcPr>
            <w:tcW w:w="7900" w:type="dxa"/>
            <w:vAlign w:val="bottom"/>
            <w:tcBorders>
              <w:top w:val="single" w:sz="8" w:color="E3E4E5"/>
            </w:tcBorders>
          </w:tcPr>
          <w:p>
            <w:pPr>
              <w:spacing w:after="0"/>
              <w:rPr>
                <w:sz w:val="20"/>
                <w:szCs w:val="20"/>
                <w:color w:val="auto"/>
              </w:rPr>
            </w:pPr>
            <w:r>
              <w:rPr>
                <w:rFonts w:ascii="Times New Roman" w:cs="Times New Roman" w:eastAsia="Times New Roman" w:hAnsi="Times New Roman"/>
                <w:sz w:val="20"/>
                <w:szCs w:val="20"/>
                <w:color w:val="454546"/>
              </w:rPr>
              <w:t>Effective income tax rate</w:t>
            </w:r>
          </w:p>
        </w:tc>
        <w:tc>
          <w:tcPr>
            <w:tcW w:w="40" w:type="dxa"/>
            <w:vAlign w:val="bottom"/>
            <w:tcBorders>
              <w:top w:val="single" w:sz="8" w:color="E3E4E5"/>
            </w:tcBorders>
          </w:tcPr>
          <w:p>
            <w:pPr>
              <w:spacing w:after="0"/>
              <w:rPr>
                <w:sz w:val="22"/>
                <w:szCs w:val="22"/>
                <w:color w:val="auto"/>
              </w:rPr>
            </w:pPr>
          </w:p>
        </w:tc>
        <w:tc>
          <w:tcPr>
            <w:tcW w:w="20" w:type="dxa"/>
            <w:vAlign w:val="bottom"/>
            <w:tcBorders>
              <w:top w:val="single" w:sz="8" w:color="E3E4E5"/>
              <w:bottom w:val="single" w:sz="8" w:color="231F20"/>
            </w:tcBorders>
          </w:tcPr>
          <w:p>
            <w:pPr>
              <w:spacing w:after="0"/>
              <w:rPr>
                <w:sz w:val="22"/>
                <w:szCs w:val="22"/>
                <w:color w:val="auto"/>
              </w:rPr>
            </w:pPr>
          </w:p>
        </w:tc>
        <w:tc>
          <w:tcPr>
            <w:tcW w:w="2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0.0</w:t>
            </w:r>
          </w:p>
        </w:tc>
        <w:tc>
          <w:tcPr>
            <w:tcW w:w="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w w:val="83"/>
              </w:rPr>
              <w:t>%</w:t>
            </w:r>
          </w:p>
        </w:tc>
      </w:tr>
      <w:tr>
        <w:trPr>
          <w:trHeight w:val="20"/>
        </w:trPr>
        <w:tc>
          <w:tcPr>
            <w:tcW w:w="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-222250</wp:posOffset>
                </wp:positionV>
                <wp:extent cx="507555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555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7.4999pt" to="399.25pt,-17.4999pt" o:allowincell="f" strokecolor="#FFFFFF" strokeweight="0.96pt"/>
            </w:pict>
          </mc:Fallback>
        </mc:AlternateContent>
      </w:r>
    </w:p>
    <w:p>
      <w:pPr>
        <w:sectPr>
          <w:pgSz w:w="11880" w:h="15480" w:orient="portrait"/>
          <w:cols w:equalWidth="0" w:num="1">
            <w:col w:w="10260"/>
          </w:cols>
          <w:pgMar w:left="820" w:top="504" w:right="800" w:bottom="0" w:gutter="0" w:footer="0" w:header="0"/>
        </w:sect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92</w:t>
      </w:r>
    </w:p>
    <w:p>
      <w:pPr>
        <w:sectPr>
          <w:pgSz w:w="11880" w:h="15480" w:orient="portrait"/>
          <w:cols w:equalWidth="0" w:num="1">
            <w:col w:w="10260"/>
          </w:cols>
          <w:pgMar w:left="820" w:top="504" w:right="80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454546"/>
        </w:rPr>
        <w:t>Net deferred tax assets consisted of the following (in thousands):</w:t>
      </w:r>
    </w:p>
    <w:p>
      <w:pPr>
        <w:spacing w:after="0" w:line="190"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6"/>
          <w:szCs w:val="16"/>
          <w:b w:val="1"/>
          <w:bCs w:val="1"/>
          <w:color w:val="454546"/>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4794885</wp:posOffset>
                </wp:positionH>
                <wp:positionV relativeFrom="paragraph">
                  <wp:posOffset>45085</wp:posOffset>
                </wp:positionV>
                <wp:extent cx="17049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497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55pt,3.55pt" to="511.8pt,3.55pt" o:allowincell="f" strokecolor="#231F20" strokeweight="0.96pt"/>
            </w:pict>
          </mc:Fallback>
        </mc:AlternateContent>
      </w:r>
    </w:p>
    <w:p>
      <w:pPr>
        <w:spacing w:after="0" w:line="50" w:lineRule="exact"/>
        <w:rPr>
          <w:sz w:val="20"/>
          <w:szCs w:val="20"/>
          <w:color w:val="auto"/>
        </w:rPr>
      </w:pPr>
    </w:p>
    <w:p>
      <w:pPr>
        <w:jc w:val="both"/>
        <w:ind w:left="8040"/>
        <w:spacing w:after="0"/>
        <w:tabs>
          <w:tab w:leader="none" w:pos="9400" w:val="left"/>
        </w:tabs>
        <w:rPr>
          <w:sz w:val="20"/>
          <w:szCs w:val="20"/>
          <w:color w:val="auto"/>
        </w:rPr>
      </w:pPr>
      <w:r>
        <w:rPr>
          <w:rFonts w:ascii="Times New Roman" w:cs="Times New Roman" w:eastAsia="Times New Roman" w:hAnsi="Times New Roman"/>
          <w:sz w:val="16"/>
          <w:szCs w:val="16"/>
          <w:b w:val="1"/>
          <w:bCs w:val="1"/>
          <w:color w:val="454546"/>
        </w:rPr>
        <w:t>2025</w:t>
      </w:r>
      <w:r>
        <w:rPr>
          <w:sz w:val="20"/>
          <w:szCs w:val="20"/>
          <w:color w:val="auto"/>
        </w:rPr>
        <w:tab/>
      </w:r>
      <w:r>
        <w:rPr>
          <w:rFonts w:ascii="Times New Roman" w:cs="Times New Roman" w:eastAsia="Times New Roman" w:hAnsi="Times New Roman"/>
          <w:sz w:val="16"/>
          <w:szCs w:val="16"/>
          <w:b w:val="1"/>
          <w:bCs w:val="1"/>
          <w:color w:val="454546"/>
        </w:rPr>
        <w:t>2024</w:t>
      </w:r>
    </w:p>
    <w:p>
      <w:pPr>
        <w:sectPr>
          <w:pgSz w:w="11880" w:h="15480" w:orient="portrait"/>
          <w:cols w:equalWidth="0" w:num="1">
            <w:col w:w="10240"/>
          </w:cols>
          <w:pgMar w:left="820" w:top="504" w:right="820" w:bottom="0" w:gutter="0" w:footer="0" w:header="0"/>
        </w:sectPr>
      </w:pP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Deferred tax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-126365</wp:posOffset>
                </wp:positionV>
                <wp:extent cx="6503670" cy="1778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77800"/>
                        </a:xfrm>
                        <a:prstGeom prst="rect">
                          <a:avLst/>
                        </a:prstGeom>
                        <a:solidFill>
                          <a:srgbClr val="E3E4E5"/>
                        </a:solidFill>
                      </wps:spPr>
                      <wps:bodyPr/>
                    </wps:wsp>
                  </a:graphicData>
                </a:graphic>
              </wp:anchor>
            </w:drawing>
          </mc:Choice>
          <mc:Fallback>
            <w:pict>
              <v:rect id="Shape 34" o:spid="_x0000_s1059" style="position:absolute;margin-left:-0.3999pt;margin-top:-9.9499pt;width:512.1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-113665</wp:posOffset>
                </wp:positionV>
                <wp:extent cx="4732020" cy="1517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2020" cy="151765"/>
                        </a:xfrm>
                        <a:prstGeom prst="rect">
                          <a:avLst/>
                        </a:prstGeom>
                        <a:solidFill>
                          <a:srgbClr val="E3E4E5"/>
                        </a:solidFill>
                      </wps:spPr>
                      <wps:bodyPr/>
                    </wps:wsp>
                  </a:graphicData>
                </a:graphic>
              </wp:anchor>
            </w:drawing>
          </mc:Choice>
          <mc:Fallback>
            <w:pict>
              <v:rect id="Shape 35" o:spid="_x0000_s1060" style="position:absolute;margin-left:2.2pt;margin-top:-8.9499pt;width:372.6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-132715</wp:posOffset>
                </wp:positionV>
                <wp:extent cx="47999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9965" cy="4763"/>
                        </a:xfrm>
                        <a:prstGeom prst="line">
                          <a:avLst/>
                        </a:prstGeom>
                        <a:solidFill>
                          <a:srgbClr val="FFFFFF"/>
                        </a:solidFill>
                        <a:ln w="12179">
                          <a:solidFill>
                            <a:srgbClr val="E3E4E5"/>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4499pt" to="377.55pt,-10.4499pt" o:allowincell="f" strokecolor="#E3E4E5" strokeweight="0.959pt"/>
            </w:pict>
          </mc:Fallback>
        </mc:AlternateConten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Net operating loss carryforwards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Capitalized research expenditures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503670" cy="1898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9865"/>
                        </a:xfrm>
                        <a:prstGeom prst="rect">
                          <a:avLst/>
                        </a:prstGeom>
                        <a:solidFill>
                          <a:srgbClr val="E3E4E5"/>
                        </a:solidFill>
                      </wps:spPr>
                      <wps:bodyPr/>
                    </wps:wsp>
                  </a:graphicData>
                </a:graphic>
              </wp:anchor>
            </w:drawing>
          </mc:Choice>
          <mc:Fallback>
            <w:pict>
              <v:rect id="Shape 37" o:spid="_x0000_s1062" style="position:absolute;margin-left:-0.3999pt;margin-top:-10.3999pt;width:512.1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-113665</wp:posOffset>
                </wp:positionV>
                <wp:extent cx="4732020" cy="1517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2020" cy="151765"/>
                        </a:xfrm>
                        <a:prstGeom prst="rect">
                          <a:avLst/>
                        </a:prstGeom>
                        <a:solidFill>
                          <a:srgbClr val="E3E4E5"/>
                        </a:solidFill>
                      </wps:spPr>
                      <wps:bodyPr/>
                    </wps:wsp>
                  </a:graphicData>
                </a:graphic>
              </wp:anchor>
            </w:drawing>
          </mc:Choice>
          <mc:Fallback>
            <w:pict>
              <v:rect id="Shape 38" o:spid="_x0000_s1063" style="position:absolute;margin-left:2.2pt;margin-top:-8.9499pt;width:372.6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Research and development tax credit carryforwards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Capitalized start-up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503670" cy="18986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9865"/>
                        </a:xfrm>
                        <a:prstGeom prst="rect">
                          <a:avLst/>
                        </a:prstGeom>
                        <a:solidFill>
                          <a:srgbClr val="E3E4E5"/>
                        </a:solidFill>
                      </wps:spPr>
                      <wps:bodyPr/>
                    </wps:wsp>
                  </a:graphicData>
                </a:graphic>
              </wp:anchor>
            </w:drawing>
          </mc:Choice>
          <mc:Fallback>
            <w:pict>
              <v:rect id="Shape 39" o:spid="_x0000_s1064" style="position:absolute;margin-left:-0.3999pt;margin-top:-10.3999pt;width:512.1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-113665</wp:posOffset>
                </wp:positionV>
                <wp:extent cx="4732020" cy="1517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2020" cy="151765"/>
                        </a:xfrm>
                        <a:prstGeom prst="rect">
                          <a:avLst/>
                        </a:prstGeom>
                        <a:solidFill>
                          <a:srgbClr val="E3E4E5"/>
                        </a:solidFill>
                      </wps:spPr>
                      <wps:bodyPr/>
                    </wps:wsp>
                  </a:graphicData>
                </a:graphic>
              </wp:anchor>
            </w:drawing>
          </mc:Choice>
          <mc:Fallback>
            <w:pict>
              <v:rect id="Shape 40" o:spid="_x0000_s1065" style="position:absolute;margin-left:2.2pt;margin-top:-8.9499pt;width:372.6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Deferred revenue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Accrued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503670" cy="1898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9865"/>
                        </a:xfrm>
                        <a:prstGeom prst="rect">
                          <a:avLst/>
                        </a:prstGeom>
                        <a:solidFill>
                          <a:srgbClr val="E3E4E5"/>
                        </a:solidFill>
                      </wps:spPr>
                      <wps:bodyPr/>
                    </wps:wsp>
                  </a:graphicData>
                </a:graphic>
              </wp:anchor>
            </w:drawing>
          </mc:Choice>
          <mc:Fallback>
            <w:pict>
              <v:rect id="Shape 41" o:spid="_x0000_s1066" style="position:absolute;margin-left:-0.3999pt;margin-top:-10.3999pt;width:512.1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-113665</wp:posOffset>
                </wp:positionV>
                <wp:extent cx="4732020" cy="15176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2020" cy="151765"/>
                        </a:xfrm>
                        <a:prstGeom prst="rect">
                          <a:avLst/>
                        </a:prstGeom>
                        <a:solidFill>
                          <a:srgbClr val="E3E4E5"/>
                        </a:solidFill>
                      </wps:spPr>
                      <wps:bodyPr/>
                    </wps:wsp>
                  </a:graphicData>
                </a:graphic>
              </wp:anchor>
            </w:drawing>
          </mc:Choice>
          <mc:Fallback>
            <w:pict>
              <v:rect id="Shape 42" o:spid="_x0000_s1067" style="position:absolute;margin-left:2.2pt;margin-top:-8.9499pt;width:372.6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Stock-based compensation</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Operating lease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503670" cy="18986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9865"/>
                        </a:xfrm>
                        <a:prstGeom prst="rect">
                          <a:avLst/>
                        </a:prstGeom>
                        <a:solidFill>
                          <a:srgbClr val="E3E4E5"/>
                        </a:solidFill>
                      </wps:spPr>
                      <wps:bodyPr/>
                    </wps:wsp>
                  </a:graphicData>
                </a:graphic>
              </wp:anchor>
            </w:drawing>
          </mc:Choice>
          <mc:Fallback>
            <w:pict>
              <v:rect id="Shape 43" o:spid="_x0000_s1068" style="position:absolute;margin-left:-0.3999pt;margin-top:-10.3999pt;width:512.1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-113665</wp:posOffset>
                </wp:positionV>
                <wp:extent cx="4732020" cy="15176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2020" cy="151765"/>
                        </a:xfrm>
                        <a:prstGeom prst="rect">
                          <a:avLst/>
                        </a:prstGeom>
                        <a:solidFill>
                          <a:srgbClr val="E3E4E5"/>
                        </a:solidFill>
                      </wps:spPr>
                      <wps:bodyPr/>
                    </wps:wsp>
                  </a:graphicData>
                </a:graphic>
              </wp:anchor>
            </w:drawing>
          </mc:Choice>
          <mc:Fallback>
            <w:pict>
              <v:rect id="Shape 44" o:spid="_x0000_s1069" style="position:absolute;margin-left:2.2pt;margin-top:-8.9499pt;width:372.6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454546"/>
        </w:rPr>
        <w:t>Total deferred tax assets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454546"/>
        </w:rPr>
        <w:t>Deferred tax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503670" cy="1898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3670" cy="189865"/>
                        </a:xfrm>
                        <a:prstGeom prst="rect">
                          <a:avLst/>
                        </a:prstGeom>
                        <a:solidFill>
                          <a:srgbClr val="E3E4E5"/>
                        </a:solidFill>
                      </wps:spPr>
                      <wps:bodyPr/>
                    </wps:wsp>
                  </a:graphicData>
                </a:graphic>
              </wp:anchor>
            </w:drawing>
          </mc:Choice>
          <mc:Fallback>
            <w:pict>
              <v:rect id="Shape 45" o:spid="_x0000_s1070" style="position:absolute;margin-left:-0.3999pt;margin-top:-10.3999pt;width:512.1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-113665</wp:posOffset>
                </wp:positionV>
                <wp:extent cx="4732020" cy="15176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2020" cy="151765"/>
                        </a:xfrm>
                        <a:prstGeom prst="rect">
                          <a:avLst/>
                        </a:prstGeom>
                        <a:solidFill>
                          <a:srgbClr val="E3E4E5"/>
                        </a:solidFill>
                      </wps:spPr>
                      <wps:bodyPr/>
                    </wps:wsp>
                  </a:graphicData>
                </a:graphic>
              </wp:anchor>
            </w:drawing>
          </mc:Choice>
          <mc:Fallback>
            <w:pict>
              <v:rect id="Shape 46" o:spid="_x0000_s1071" style="position:absolute;margin-left:2.2pt;margin-top:-8.9499pt;width:372.6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54546"/>
        </w:rPr>
        <w:t>Depreciation</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55,169</w:t>
            </w:r>
          </w:p>
        </w:tc>
        <w:tc>
          <w:tcPr>
            <w:tcW w:w="2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14,519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9"/>
        </w:trPr>
        <w:tc>
          <w:tcPr>
            <w:tcW w:w="3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44,554</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59,481</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Borders>
              <w:left w:val="single" w:sz="8" w:color="E3E4E5"/>
              <w:bottom w:val="single" w:sz="8" w:color="E3E4E5"/>
            </w:tcBorders>
            <w:shd w:val="clear" w:color="auto" w:fill="E3E4E5"/>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13,086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10,044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9"/>
        </w:trPr>
        <w:tc>
          <w:tcPr>
            <w:tcW w:w="3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92</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108</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Borders>
              <w:left w:val="single" w:sz="8" w:color="E3E4E5"/>
              <w:bottom w:val="single" w:sz="8" w:color="E3E4E5"/>
            </w:tcBorders>
            <w:shd w:val="clear" w:color="auto" w:fill="E3E4E5"/>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68,069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76,259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360" w:type="dxa"/>
            <w:vAlign w:val="bottom"/>
            <w:tcBorders>
              <w:bottom w:val="single" w:sz="8" w:color="E3E4E5"/>
            </w:tcBorders>
          </w:tcPr>
          <w:p>
            <w:pPr>
              <w:spacing w:after="0"/>
              <w:rPr>
                <w:sz w:val="5"/>
                <w:szCs w:val="5"/>
                <w:color w:val="auto"/>
              </w:rPr>
            </w:pPr>
          </w:p>
        </w:tc>
        <w:tc>
          <w:tcPr>
            <w:tcW w:w="920" w:type="dxa"/>
            <w:vAlign w:val="bottom"/>
            <w:tcBorders>
              <w:bottom w:val="single" w:sz="8" w:color="E3E4E5"/>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E3E4E5"/>
            </w:tcBorders>
          </w:tcPr>
          <w:p>
            <w:pPr>
              <w:spacing w:after="0"/>
              <w:rPr>
                <w:sz w:val="5"/>
                <w:szCs w:val="5"/>
                <w:color w:val="auto"/>
              </w:rPr>
            </w:pPr>
          </w:p>
        </w:tc>
        <w:tc>
          <w:tcPr>
            <w:tcW w:w="920" w:type="dxa"/>
            <w:vAlign w:val="bottom"/>
            <w:tcBorders>
              <w:bottom w:val="single" w:sz="8" w:color="E3E4E5"/>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0" w:type="dxa"/>
            <w:vAlign w:val="bottom"/>
            <w:tcBorders>
              <w:bottom w:val="single" w:sz="8" w:color="E3E4E5"/>
            </w:tcBorders>
            <w:shd w:val="clear" w:color="auto" w:fill="E3E4E5"/>
          </w:tcPr>
          <w:p>
            <w:pPr>
              <w:spacing w:after="0"/>
              <w:rPr>
                <w:sz w:val="19"/>
                <w:szCs w:val="19"/>
                <w:color w:val="auto"/>
              </w:rPr>
            </w:pPr>
          </w:p>
        </w:tc>
        <w:tc>
          <w:tcPr>
            <w:tcW w:w="920" w:type="dxa"/>
            <w:vAlign w:val="bottom"/>
            <w:tcBorders>
              <w:bottom w:val="single" w:sz="8" w:color="E3E4E5"/>
            </w:tcBorders>
            <w:shd w:val="clear" w:color="auto" w:fill="E3E4E5"/>
          </w:tcPr>
          <w:p>
            <w:pPr>
              <w:jc w:val="right"/>
              <w:spacing w:after="0" w:line="211" w:lineRule="exact"/>
              <w:rPr>
                <w:sz w:val="20"/>
                <w:szCs w:val="20"/>
                <w:color w:val="auto"/>
              </w:rPr>
            </w:pPr>
            <w:r>
              <w:rPr>
                <w:rFonts w:ascii="Times New Roman" w:cs="Times New Roman" w:eastAsia="Times New Roman" w:hAnsi="Times New Roman"/>
                <w:sz w:val="20"/>
                <w:szCs w:val="20"/>
                <w:color w:val="454546"/>
              </w:rPr>
              <w:t>6</w:t>
            </w:r>
          </w:p>
        </w:tc>
        <w:tc>
          <w:tcPr>
            <w:tcW w:w="20" w:type="dxa"/>
            <w:vAlign w:val="bottom"/>
          </w:tcPr>
          <w:p>
            <w:pPr>
              <w:spacing w:after="0"/>
              <w:rPr>
                <w:sz w:val="19"/>
                <w:szCs w:val="19"/>
                <w:color w:val="auto"/>
              </w:rPr>
            </w:pPr>
          </w:p>
        </w:tc>
        <w:tc>
          <w:tcPr>
            <w:tcW w:w="80" w:type="dxa"/>
            <w:vAlign w:val="bottom"/>
            <w:tcBorders>
              <w:left w:val="single" w:sz="8" w:color="E3E4E5"/>
              <w:bottom w:val="single" w:sz="8" w:color="E3E4E5"/>
            </w:tcBorders>
            <w:shd w:val="clear" w:color="auto" w:fill="E3E4E5"/>
          </w:tcPr>
          <w:p>
            <w:pPr>
              <w:spacing w:after="0"/>
              <w:rPr>
                <w:sz w:val="19"/>
                <w:szCs w:val="19"/>
                <w:color w:val="auto"/>
              </w:rPr>
            </w:pPr>
          </w:p>
        </w:tc>
        <w:tc>
          <w:tcPr>
            <w:tcW w:w="360" w:type="dxa"/>
            <w:vAlign w:val="bottom"/>
            <w:tcBorders>
              <w:bottom w:val="single" w:sz="8" w:color="E3E4E5"/>
            </w:tcBorders>
            <w:shd w:val="clear" w:color="auto" w:fill="E3E4E5"/>
          </w:tcPr>
          <w:p>
            <w:pPr>
              <w:spacing w:after="0"/>
              <w:rPr>
                <w:sz w:val="19"/>
                <w:szCs w:val="19"/>
                <w:color w:val="auto"/>
              </w:rPr>
            </w:pPr>
          </w:p>
        </w:tc>
        <w:tc>
          <w:tcPr>
            <w:tcW w:w="920" w:type="dxa"/>
            <w:vAlign w:val="bottom"/>
            <w:tcBorders>
              <w:bottom w:val="single" w:sz="8" w:color="E3E4E5"/>
            </w:tcBorders>
            <w:shd w:val="clear" w:color="auto" w:fill="E3E4E5"/>
          </w:tcPr>
          <w:p>
            <w:pPr>
              <w:jc w:val="right"/>
              <w:spacing w:after="0" w:line="211" w:lineRule="exact"/>
              <w:rPr>
                <w:sz w:val="20"/>
                <w:szCs w:val="20"/>
                <w:color w:val="auto"/>
              </w:rPr>
            </w:pPr>
            <w:r>
              <w:rPr>
                <w:rFonts w:ascii="Times New Roman" w:cs="Times New Roman" w:eastAsia="Times New Roman" w:hAnsi="Times New Roman"/>
                <w:sz w:val="20"/>
                <w:szCs w:val="20"/>
                <w:color w:val="454546"/>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4,048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3,861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9"/>
        </w:trPr>
        <w:tc>
          <w:tcPr>
            <w:tcW w:w="3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11,536</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454546"/>
              </w:rPr>
              <w:t>10,112</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left w:val="single" w:sz="8" w:color="E3E4E5"/>
              <w:bottom w:val="single" w:sz="8" w:color="E3E4E5"/>
            </w:tcBorders>
            <w:shd w:val="clear" w:color="auto" w:fill="E3E4E5"/>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60" w:type="dxa"/>
            <w:vAlign w:val="bottom"/>
            <w:tcBorders>
              <w:top w:val="single" w:sz="8" w:color="231F20"/>
            </w:tcBorders>
          </w:tcPr>
          <w:p>
            <w:pPr>
              <w:spacing w:after="0"/>
              <w:rPr>
                <w:sz w:val="23"/>
                <w:szCs w:val="23"/>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196,560</w:t>
            </w:r>
          </w:p>
        </w:tc>
        <w:tc>
          <w:tcPr>
            <w:tcW w:w="20" w:type="dxa"/>
            <w:vAlign w:val="bottom"/>
            <w:tcBorders>
              <w:top w:val="single" w:sz="8" w:color="231F20"/>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231F20"/>
            </w:tcBorders>
          </w:tcPr>
          <w:p>
            <w:pPr>
              <w:spacing w:after="0"/>
              <w:rPr>
                <w:sz w:val="23"/>
                <w:szCs w:val="23"/>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174,387</w:t>
            </w:r>
          </w:p>
        </w:tc>
        <w:tc>
          <w:tcPr>
            <w:tcW w:w="2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454546"/>
              </w:rPr>
              <w:t>(234)</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454546"/>
              </w:rPr>
              <w:t>(1,785)</w:t>
            </w: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Borders>
              <w:left w:val="single" w:sz="8" w:color="E3E4E5"/>
            </w:tcBorders>
            <w:shd w:val="clear" w:color="auto" w:fill="E3E4E5"/>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60" w:type="dxa"/>
            <w:vAlign w:val="bottom"/>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821690</wp:posOffset>
                </wp:positionH>
                <wp:positionV relativeFrom="paragraph">
                  <wp:posOffset>-2229485</wp:posOffset>
                </wp:positionV>
                <wp:extent cx="48895" cy="1524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95" cy="152400"/>
                        </a:xfrm>
                        <a:prstGeom prst="rect">
                          <a:avLst/>
                        </a:prstGeom>
                        <a:solidFill>
                          <a:srgbClr val="E3E4E5"/>
                        </a:solidFill>
                      </wps:spPr>
                      <wps:bodyPr/>
                    </wps:wsp>
                  </a:graphicData>
                </a:graphic>
              </wp:anchor>
            </w:drawing>
          </mc:Choice>
          <mc:Fallback>
            <w:pict>
              <v:rect id="Shape 47" o:spid="_x0000_s1072" style="position:absolute;margin-left:64.7pt;margin-top:-175.5499pt;width:3.8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-2261235</wp:posOffset>
                </wp:positionV>
                <wp:extent cx="8280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78.0499pt" to="64.8pt,-178.0499pt" o:allowincell="f" strokecolor="#231F20" strokeweight="0.959pt"/>
            </w:pict>
          </mc:Fallback>
        </mc:AlternateContent>
        <mc:AlternateContent>
          <mc:Choice Requires="wps">
            <w:drawing>
              <wp:anchor simplePos="0" relativeHeight="251657728" behindDoc="1" locked="0" layoutInCell="0" allowOverlap="1">
                <wp:simplePos x="0" y="0"/>
                <wp:positionH relativeFrom="column">
                  <wp:posOffset>822960</wp:posOffset>
                </wp:positionH>
                <wp:positionV relativeFrom="paragraph">
                  <wp:posOffset>-2267585</wp:posOffset>
                </wp:positionV>
                <wp:extent cx="47625" cy="1206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 cy="12065"/>
                        </a:xfrm>
                        <a:prstGeom prst="rect">
                          <a:avLst/>
                        </a:prstGeom>
                        <a:solidFill>
                          <a:srgbClr val="E3E4E5"/>
                        </a:solidFill>
                      </wps:spPr>
                      <wps:bodyPr/>
                    </wps:wsp>
                  </a:graphicData>
                </a:graphic>
              </wp:anchor>
            </w:drawing>
          </mc:Choice>
          <mc:Fallback>
            <w:pict>
              <v:rect id="Shape 49" o:spid="_x0000_s1074" style="position:absolute;margin-left:64.8pt;margin-top:-178.5499pt;width:3.7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870585</wp:posOffset>
                </wp:positionH>
                <wp:positionV relativeFrom="paragraph">
                  <wp:posOffset>-2261235</wp:posOffset>
                </wp:positionV>
                <wp:extent cx="8286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55pt,-178.0499pt" to="133.8pt,-178.0499pt" o:allowincell="f" strokecolor="#231F20" strokeweight="0.959pt"/>
            </w:pict>
          </mc:Fallback>
        </mc:AlternateContent>
      </w:r>
    </w:p>
    <w:p>
      <w:pPr>
        <w:spacing w:after="0" w:line="29" w:lineRule="exact"/>
        <w:rPr>
          <w:sz w:val="20"/>
          <w:szCs w:val="20"/>
          <w:color w:val="auto"/>
        </w:rPr>
      </w:pPr>
    </w:p>
    <w:p>
      <w:pPr>
        <w:sectPr>
          <w:pgSz w:w="11880" w:h="15480" w:orient="portrait"/>
          <w:cols w:equalWidth="0" w:num="2">
            <w:col w:w="6840" w:space="720"/>
            <w:col w:w="2680"/>
          </w:cols>
          <w:pgMar w:left="820" w:top="504" w:right="820" w:bottom="0" w:gutter="0" w:footer="0" w:header="0"/>
          <w:type w:val="continuous"/>
        </w:sectPr>
      </w:pPr>
    </w:p>
    <w:tbl>
      <w:tblPr>
        <w:tblLayout w:type="fixed"/>
        <w:tblInd w:w="0" w:type="dxa"/>
        <w:tblCellMar>
          <w:top w:w="0" w:type="dxa"/>
          <w:left w:w="0" w:type="dxa"/>
          <w:bottom w:w="0" w:type="dxa"/>
          <w:right w:w="0" w:type="dxa"/>
        </w:tblCellMar>
      </w:tblPr>
      <w:tr>
        <w:trPr>
          <w:trHeight w:val="320"/>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Operating lease right-of-use assets</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(8,691)</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(6,172)</w:t>
            </w:r>
          </w:p>
        </w:tc>
      </w:tr>
      <w:tr>
        <w:trPr>
          <w:trHeight w:val="259"/>
        </w:trPr>
        <w:tc>
          <w:tcPr>
            <w:tcW w:w="40" w:type="dxa"/>
            <w:vAlign w:val="bottom"/>
            <w:tcBorders>
              <w:top w:val="single" w:sz="8" w:color="E3E4E5"/>
              <w:bottom w:val="single" w:sz="8" w:color="E3E4E5"/>
            </w:tcBorders>
          </w:tcPr>
          <w:p>
            <w:pPr>
              <w:spacing w:after="0"/>
              <w:rPr>
                <w:sz w:val="22"/>
                <w:szCs w:val="22"/>
                <w:color w:val="auto"/>
              </w:rPr>
            </w:pPr>
          </w:p>
        </w:tc>
        <w:tc>
          <w:tcPr>
            <w:tcW w:w="7460" w:type="dxa"/>
            <w:vAlign w:val="bottom"/>
            <w:tcBorders>
              <w:top w:val="single" w:sz="8" w:color="E3E4E5"/>
              <w:bottom w:val="single" w:sz="8" w:color="E3E4E5"/>
            </w:tcBorders>
          </w:tcPr>
          <w:p>
            <w:pPr>
              <w:ind w:left="720"/>
              <w:spacing w:after="0"/>
              <w:rPr>
                <w:sz w:val="20"/>
                <w:szCs w:val="20"/>
                <w:color w:val="auto"/>
              </w:rPr>
            </w:pPr>
            <w:r>
              <w:rPr>
                <w:rFonts w:ascii="Times New Roman" w:cs="Times New Roman" w:eastAsia="Times New Roman" w:hAnsi="Times New Roman"/>
                <w:sz w:val="20"/>
                <w:szCs w:val="20"/>
                <w:color w:val="454546"/>
              </w:rPr>
              <w:t>Total deferred tax liabilities</w:t>
            </w:r>
          </w:p>
        </w:tc>
        <w:tc>
          <w:tcPr>
            <w:tcW w:w="40" w:type="dxa"/>
            <w:vAlign w:val="bottom"/>
            <w:tcBorders>
              <w:top w:val="single" w:sz="8" w:color="E3E4E5"/>
              <w:bottom w:val="single" w:sz="8" w:color="E3E4E5"/>
            </w:tcBorders>
          </w:tcPr>
          <w:p>
            <w:pPr>
              <w:spacing w:after="0"/>
              <w:rPr>
                <w:sz w:val="22"/>
                <w:szCs w:val="22"/>
                <w:color w:val="auto"/>
              </w:rPr>
            </w:pPr>
          </w:p>
        </w:tc>
        <w:tc>
          <w:tcPr>
            <w:tcW w:w="20" w:type="dxa"/>
            <w:vAlign w:val="bottom"/>
            <w:tcBorders>
              <w:top w:val="single" w:sz="8" w:color="E3E4E5"/>
              <w:bottom w:val="single" w:sz="8" w:color="E3E4E5"/>
            </w:tcBorders>
          </w:tcPr>
          <w:p>
            <w:pPr>
              <w:spacing w:after="0"/>
              <w:rPr>
                <w:sz w:val="22"/>
                <w:szCs w:val="22"/>
                <w:color w:val="auto"/>
              </w:rPr>
            </w:pPr>
          </w:p>
        </w:tc>
        <w:tc>
          <w:tcPr>
            <w:tcW w:w="320" w:type="dxa"/>
            <w:vAlign w:val="bottom"/>
            <w:tcBorders>
              <w:top w:val="single" w:sz="8" w:color="231F20"/>
              <w:bottom w:val="single" w:sz="8" w:color="231F20"/>
            </w:tcBorders>
          </w:tcPr>
          <w:p>
            <w:pPr>
              <w:spacing w:after="0"/>
              <w:rPr>
                <w:sz w:val="22"/>
                <w:szCs w:val="22"/>
                <w:color w:val="auto"/>
              </w:rPr>
            </w:pPr>
          </w:p>
        </w:tc>
        <w:tc>
          <w:tcPr>
            <w:tcW w:w="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(8,925)</w:t>
            </w:r>
          </w:p>
        </w:tc>
        <w:tc>
          <w:tcPr>
            <w:tcW w:w="6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320" w:type="dxa"/>
            <w:vAlign w:val="bottom"/>
            <w:tcBorders>
              <w:top w:val="single" w:sz="8" w:color="231F20"/>
              <w:bottom w:val="single" w:sz="8" w:color="231F20"/>
            </w:tcBorders>
          </w:tcPr>
          <w:p>
            <w:pPr>
              <w:spacing w:after="0"/>
              <w:rPr>
                <w:sz w:val="22"/>
                <w:szCs w:val="22"/>
                <w:color w:val="auto"/>
              </w:rPr>
            </w:pPr>
          </w:p>
        </w:tc>
        <w:tc>
          <w:tcPr>
            <w:tcW w:w="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(7,957)</w:t>
            </w:r>
          </w:p>
        </w:tc>
      </w:tr>
      <w:tr>
        <w:trPr>
          <w:trHeight w:val="281"/>
        </w:trPr>
        <w:tc>
          <w:tcPr>
            <w:tcW w:w="4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Valuation allowance</w:t>
            </w:r>
          </w:p>
        </w:tc>
        <w:tc>
          <w:tcPr>
            <w:tcW w:w="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(187,635)</w:t>
            </w:r>
          </w:p>
        </w:tc>
        <w:tc>
          <w:tcPr>
            <w:tcW w:w="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(166,430)</w:t>
            </w:r>
          </w:p>
        </w:tc>
      </w:tr>
      <w:tr>
        <w:trPr>
          <w:trHeight w:val="282"/>
        </w:trPr>
        <w:tc>
          <w:tcPr>
            <w:tcW w:w="40" w:type="dxa"/>
            <w:vAlign w:val="bottom"/>
          </w:tcPr>
          <w:p>
            <w:pPr>
              <w:spacing w:after="0"/>
              <w:rPr>
                <w:sz w:val="24"/>
                <w:szCs w:val="24"/>
                <w:color w:val="auto"/>
              </w:rPr>
            </w:pPr>
          </w:p>
        </w:tc>
        <w:tc>
          <w:tcPr>
            <w:tcW w:w="7460" w:type="dxa"/>
            <w:vAlign w:val="bottom"/>
          </w:tcPr>
          <w:p>
            <w:pPr>
              <w:ind w:left="720"/>
              <w:spacing w:after="0"/>
              <w:rPr>
                <w:sz w:val="20"/>
                <w:szCs w:val="20"/>
                <w:color w:val="auto"/>
              </w:rPr>
            </w:pPr>
            <w:r>
              <w:rPr>
                <w:rFonts w:ascii="Times New Roman" w:cs="Times New Roman" w:eastAsia="Times New Roman" w:hAnsi="Times New Roman"/>
                <w:sz w:val="20"/>
                <w:szCs w:val="20"/>
                <w:color w:val="454546"/>
              </w:rPr>
              <w:t>Net deferred tax assets</w:t>
            </w:r>
          </w:p>
        </w:tc>
        <w:tc>
          <w:tcPr>
            <w:tcW w:w="4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20" w:type="dxa"/>
            <w:vAlign w:val="bottom"/>
            <w:tcBorders>
              <w:top w:val="single" w:sz="8" w:color="231F20"/>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c>
          <w:tcPr>
            <w:tcW w:w="6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320" w:type="dxa"/>
            <w:vAlign w:val="bottom"/>
            <w:tcBorders>
              <w:top w:val="single" w:sz="8" w:color="231F20"/>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0"/>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-603250</wp:posOffset>
                </wp:positionV>
                <wp:extent cx="479996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9965"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7.4999pt" to="377.55pt,-47.4999pt" o:allowincell="f" strokecolor="#FFFFFF" strokeweight="0.96pt"/>
            </w:pict>
          </mc:Fallback>
        </mc:AlternateConten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As of December 31, 2025, the Company had U.S. federal and state net operating loss carryforwards of $198.5 million and</w:t>
      </w:r>
    </w:p>
    <w:p>
      <w:pPr>
        <w:spacing w:after="0" w:line="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$213.5 million, respectively. The U.S. federal net operating loss carryforwards can be carried forward indefinitely but limited to offset 80% of annual taxable income. The state net operating loss carryforwards will begin to expire in 2039. As of December 31, 2025, the Company also had U.S. federal and state research and development tax credit carryforwards of $9.4 million and $3.7 million, respectively, which may be available to offset future tax liabilities and expire at various dates beginning in 2043 and 2037, respectively.</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The Tax Cuts and Jobs Act (“TCJA”) requires taxpayers to capitalize and amortize, rather than deduct, research and development (“R&amp;D”) expenditures under section 174 of the Internal Revenue Code of 1986, as amended (the “Code”) for tax years beginning after December 31, 2021. The Company will amortize these costs for tax purposes over 5 years if the R&amp;D was performed in the U.S. and over 15 years if the R&amp;D was performed outside the U.S. These rules became effective for the Company during the year ended December 31, 2022. The Company has capitalized foreign R&amp;D costs of $25.2 million and $25.0 million for the tax years ended December 31, 2025 and December 31, 2024, respectively.</w:t>
      </w:r>
    </w:p>
    <w:p>
      <w:pPr>
        <w:spacing w:after="0" w:line="82"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9"/>
          <w:szCs w:val="19"/>
          <w:color w:val="454546"/>
        </w:rPr>
        <w:t>On July 4, 2025, the One Big Beautiful Bill Act (“OBBBA”) was enacted, providing taxpayers the option to fully deduct or continue capitalizing and amortizing domestic R&amp;D expenditures under new Code Section 174A, effective for tax years beginning after December 31, 2024. The OBBBA also provides certain eligible taxpayers with the option to accelerate and deduct the remaining unamortized domestic R&amp;D costs incurred during taxable years ending after December 31, 2021 and before January 1, 2025. The Company has implemented the two-year accelerated expensing for all domestic R&amp;D costs incurred during taxable years ending after December 31, 2021 and before January 1, 2025. As of December 31, 2025, $75.2 million remains unamortized related to domestic R&amp;D costs. Final elections will be made with the 2025 tax return filing.</w:t>
      </w:r>
    </w:p>
    <w:p>
      <w:pPr>
        <w:spacing w:after="0" w:line="6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454546"/>
        </w:rPr>
        <w:t>The Company has evaluated the positive and negative evidence bearing upon its ability to realize the deferred tax assets. Management has considered the Company’s history of cumulative net losses incurred since inception and its lack of commercialization of any products that would generate revenue from product sales and has concluded that it is more likely than not that the Company will not realize the benefits of the deferred tax assets. Accordingly, a full valuation allowance has been established against the net deferred tax assets as of December 31, 2025 and 2024. Management reevaluates the positive and negative evidence at each reporting period.</w:t>
      </w:r>
    </w:p>
    <w:p>
      <w:pPr>
        <w:spacing w:after="0" w:line="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454546"/>
        </w:rPr>
        <w:t>The Company has evaluated the positive and negative evidence bearing upon its ability to realize the deferred tax assets. Management has considered the Company’s history of cumulative net losses incurred since inception and its lack of commercialization of any products that would generate revenue from product sales and has concluded that it is more likely than not that the Company will not realize the benefits of the deferred tax assets. Accordingly, a full valuation allowance has been established against the net deferred tax assets as of December 31, 2025 and 2024. Management reevaluates the positive and negative evidence at each reporting period.</w:t>
      </w:r>
    </w:p>
    <w:p>
      <w:pPr>
        <w:sectPr>
          <w:pgSz w:w="11880" w:h="15480" w:orient="portrait"/>
          <w:cols w:equalWidth="0" w:num="1">
            <w:col w:w="10240"/>
          </w:cols>
          <w:pgMar w:left="820" w:top="504" w:right="820" w:bottom="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93</w:t>
      </w:r>
    </w:p>
    <w:p>
      <w:pPr>
        <w:sectPr>
          <w:pgSz w:w="11880" w:h="15480" w:orient="portrait"/>
          <w:cols w:equalWidth="0" w:num="1">
            <w:col w:w="10240"/>
          </w:cols>
          <w:pgMar w:left="820" w:top="504" w:right="820" w:bottom="0" w:gutter="0" w:footer="0" w:header="0"/>
          <w:type w:val="continuous"/>
        </w:sectPr>
      </w:pPr>
    </w:p>
    <w:bookmarkStart w:id="95" w:name="page96"/>
    <w:bookmarkEnd w:id="95"/>
    <w:p>
      <w:pPr>
        <w:ind w:right="620"/>
        <w:spacing w:after="0" w:line="287" w:lineRule="auto"/>
        <w:rPr>
          <w:sz w:val="20"/>
          <w:szCs w:val="20"/>
          <w:color w:val="auto"/>
        </w:rPr>
      </w:pPr>
      <w:r>
        <w:rPr>
          <w:rFonts w:ascii="Times New Roman" w:cs="Times New Roman" w:eastAsia="Times New Roman" w:hAnsi="Times New Roman"/>
          <w:sz w:val="20"/>
          <w:szCs w:val="20"/>
          <w:color w:val="454546"/>
        </w:rPr>
        <w:t>The valuation allowance increased by $21.2 million and $23.5 million for the years ended December 31, 2025 and 2024, respectively, primarily as a result of the increase in total deferred tax assets.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454546"/>
        </w:rPr>
        <w:t>Ownership changes may limit the amount of net operating loss carryforwards or research and development tax credit carryforwards that can be utilized to offset future taxable income or tax liability. In general, an ownership change, as defined by Sections 382 and 383 of the Code, results from transactions increasing the ownership of certain shareholders or public groups in the stock of a corporation by more than 50% (by value) over a three-year period. If the Company has experienced a change of control, utilization of the net operating loss carryforwards or research and development tax credit carryforwards would be subject to an annual limitation under Sections 382 and 383 of the Code. Any limitation may result in expiration of a portion of the net operating loss carryforwards or research and development tax credit carryforwards before utilization. To the extent there was a change in control, the Company's tax attributes could be subject to limitation. However, a full valuation allowance has been provided against the deferred tax assets related to the Company’s net operating loss and tax credit carryforwards and, if an adjustment is required, this adjustment would be offset by an adjustment to the valuation allowance.</w:t>
      </w:r>
    </w:p>
    <w:p>
      <w:pPr>
        <w:spacing w:after="0" w:line="8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454546"/>
        </w:rPr>
        <w:t>As of December 31, 2025 and 2024, the Company had not recorded any amounts for unrecognized tax benefits. The Company files income tax returns in the U.S. federal tax jurisdiction and Massachusetts and various other state tax jurisdictions as prescribed by the tax laws of the jurisdictions in which it operates. In the normal course of business, the Company is subject to examination by federal and state jurisdictions, where applicable. There are currently no pending tax examinations. Since the Company is in a loss carryforward position, it is generally subject to examination by the U.S. federal, state, and local income tax authorities for all tax years in which a loss carryforward is available.</w:t>
      </w:r>
    </w:p>
    <w:p>
      <w:pPr>
        <w:spacing w:after="0" w:line="8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The Company made the following income tax payments (net of refunds received) during the year ended December 31, 2025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40" w:type="dxa"/>
            <w:vAlign w:val="bottom"/>
            <w:tcBorders>
              <w:bottom w:val="single" w:sz="8" w:color="E3E4E5"/>
            </w:tcBorders>
          </w:tcPr>
          <w:p>
            <w:pPr>
              <w:spacing w:after="0"/>
              <w:rPr>
                <w:sz w:val="20"/>
                <w:szCs w:val="20"/>
                <w:color w:val="auto"/>
              </w:rPr>
            </w:pPr>
          </w:p>
        </w:tc>
        <w:tc>
          <w:tcPr>
            <w:tcW w:w="40" w:type="dxa"/>
            <w:vAlign w:val="bottom"/>
            <w:tcBorders>
              <w:bottom w:val="single" w:sz="8" w:color="E3E4E5"/>
            </w:tcBorders>
          </w:tcPr>
          <w:p>
            <w:pPr>
              <w:spacing w:after="0"/>
              <w:rPr>
                <w:sz w:val="20"/>
                <w:szCs w:val="20"/>
                <w:color w:val="auto"/>
              </w:rPr>
            </w:pPr>
          </w:p>
        </w:tc>
        <w:tc>
          <w:tcPr>
            <w:tcW w:w="228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454546"/>
              </w:rPr>
              <w:t>Year Ended December 31, 2025</w:t>
            </w:r>
          </w:p>
        </w:tc>
      </w:tr>
      <w:tr>
        <w:trPr>
          <w:trHeight w:val="296"/>
        </w:trPr>
        <w:tc>
          <w:tcPr>
            <w:tcW w:w="7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US state and local</w:t>
            </w:r>
          </w:p>
        </w:tc>
        <w:tc>
          <w:tcPr>
            <w:tcW w:w="4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1280" w:type="dxa"/>
            <w:vAlign w:val="bottom"/>
            <w:shd w:val="clear" w:color="auto" w:fill="E3E4E5"/>
          </w:tcPr>
          <w:p>
            <w:pPr>
              <w:spacing w:after="0"/>
              <w:rPr>
                <w:sz w:val="24"/>
                <w:szCs w:val="24"/>
                <w:color w:val="auto"/>
              </w:rPr>
            </w:pPr>
          </w:p>
        </w:tc>
      </w:tr>
      <w:tr>
        <w:trPr>
          <w:trHeight w:val="307"/>
        </w:trPr>
        <w:tc>
          <w:tcPr>
            <w:tcW w:w="7940" w:type="dxa"/>
            <w:vAlign w:val="bottom"/>
          </w:tcPr>
          <w:p>
            <w:pPr>
              <w:ind w:left="340"/>
              <w:spacing w:after="0"/>
              <w:rPr>
                <w:sz w:val="20"/>
                <w:szCs w:val="20"/>
                <w:color w:val="auto"/>
              </w:rPr>
            </w:pPr>
            <w:r>
              <w:rPr>
                <w:rFonts w:ascii="Times New Roman" w:cs="Times New Roman" w:eastAsia="Times New Roman" w:hAnsi="Times New Roman"/>
                <w:sz w:val="20"/>
                <w:szCs w:val="20"/>
                <w:color w:val="454546"/>
              </w:rPr>
              <w:t>Massachusetts</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454546"/>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w:t>
            </w:r>
          </w:p>
        </w:tc>
      </w:tr>
      <w:tr>
        <w:trPr>
          <w:trHeight w:val="321"/>
        </w:trPr>
        <w:tc>
          <w:tcPr>
            <w:tcW w:w="7940" w:type="dxa"/>
            <w:vAlign w:val="bottom"/>
            <w:shd w:val="clear" w:color="auto" w:fill="E3E4E5"/>
          </w:tcPr>
          <w:p>
            <w:pPr>
              <w:ind w:left="340"/>
              <w:spacing w:after="0"/>
              <w:rPr>
                <w:sz w:val="20"/>
                <w:szCs w:val="20"/>
                <w:color w:val="auto"/>
              </w:rPr>
            </w:pPr>
            <w:r>
              <w:rPr>
                <w:rFonts w:ascii="Times New Roman" w:cs="Times New Roman" w:eastAsia="Times New Roman" w:hAnsi="Times New Roman"/>
                <w:sz w:val="20"/>
                <w:szCs w:val="20"/>
                <w:color w:val="454546"/>
              </w:rPr>
              <w:t>Tennessee</w:t>
            </w:r>
          </w:p>
        </w:tc>
        <w:tc>
          <w:tcPr>
            <w:tcW w:w="40" w:type="dxa"/>
            <w:vAlign w:val="bottom"/>
            <w:shd w:val="clear" w:color="auto" w:fill="E3E4E5"/>
          </w:tcPr>
          <w:p>
            <w:pPr>
              <w:spacing w:after="0"/>
              <w:rPr>
                <w:sz w:val="24"/>
                <w:szCs w:val="24"/>
                <w:color w:val="auto"/>
              </w:rPr>
            </w:pPr>
          </w:p>
        </w:tc>
        <w:tc>
          <w:tcPr>
            <w:tcW w:w="1000" w:type="dxa"/>
            <w:vAlign w:val="bottom"/>
            <w:tcBorders>
              <w:bottom w:val="single" w:sz="8" w:color="231F20"/>
            </w:tcBorders>
            <w:shd w:val="clear" w:color="auto" w:fill="E3E4E5"/>
          </w:tcPr>
          <w:p>
            <w:pPr>
              <w:spacing w:after="0"/>
              <w:rPr>
                <w:sz w:val="24"/>
                <w:szCs w:val="24"/>
                <w:color w:val="auto"/>
              </w:rPr>
            </w:pPr>
          </w:p>
        </w:tc>
        <w:tc>
          <w:tcPr>
            <w:tcW w:w="12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(105)</w:t>
            </w:r>
          </w:p>
        </w:tc>
      </w:tr>
      <w:tr>
        <w:trPr>
          <w:trHeight w:val="297"/>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Total income tax payments (net of refunds received)</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454546"/>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(96)</w:t>
            </w:r>
          </w:p>
        </w:tc>
      </w:tr>
      <w:tr>
        <w:trPr>
          <w:trHeight w:val="20"/>
        </w:trPr>
        <w:tc>
          <w:tcPr>
            <w:tcW w:w="7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10.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Lease agreements</w:t>
      </w:r>
    </w:p>
    <w:p>
      <w:pPr>
        <w:spacing w:after="0" w:line="1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Through December 2025, the Company occupied space in 500 Tech Square, Cambridge, Massachusetts under a lease agreement for 81,441 square feet of office and laboratory space that was set to expire in September 2028 (the “Office Lease”). In June 2025, the Company entered into a new lease agreement with its existing landlord of the Office Lease for new premises consisting of 72,846 square feet of laboratory and office space in Watertown, Massachusetts (the “New Lease”). The term of the New Lease commenced in December 2025 once the landlord completed its building improvements as defined in the New Lease (the “New Premises Delivery Date”) and extends through September 2035. The lease is subject to fixed-rate rent escalations and the option to extend the lease for two terms of five years each, which were not reasonably certain of exercise as of December 31, 2025. The estimated minimum lease payments under the New Lease total $60.8 million over the term, inclusive of free and reduced rent periods in the first three years of the term. Additionally, the Company is obligated to pay real estate taxes and other costs related to the premises, including operating costs and management of the leased premises, which are variable in nature. The variable costs are expensed as incurred and are disclosed as variable lease costs. The lease contains a tenant improvement allowance of $3.6 million and the landlord holds rights to the tenant improvements. The construction of the building improvements made prior to the New Premises Delivery Date were conducted by the landlord. The Company moved operations from its existing premises to the new premises in December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Company is required to maintain a cash balance of $2.0 million to secure a letter of credit associated with the New Lease.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This amount was classified as restricted cash (non-current) on the consolidated balance sheet as of December 31, 2025.</w:t>
      </w:r>
    </w:p>
    <w:p>
      <w:pPr>
        <w:spacing w:after="0" w:line="10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454546"/>
        </w:rPr>
        <w:t>In conjunction and concurrent with the New Lease, in June 2025, the Company amended the Office Lease, which originally had a term through September 2028, to reduce the fixed lease payments and shorten the remaining term for a portion of the leased space from September 2028 to December 31, 2026, to provide for the termination of space the Company was subleasing contingent upon the New Premises Delivery Date and the landlord entering into a direct lease with the Company’s subtenant, to provide for the reduction of payments contingent upon the New Premises Delivery Date, and to provide for the early termination of the Office Lease contingent upon the New Premises Delivery Date.</w:t>
      </w:r>
    </w:p>
    <w:p>
      <w:pPr>
        <w:spacing w:after="0" w:line="82" w:lineRule="exact"/>
        <w:rPr>
          <w:sz w:val="20"/>
          <w:szCs w:val="20"/>
          <w:color w:val="auto"/>
        </w:rPr>
      </w:pPr>
    </w:p>
    <w:p>
      <w:pPr>
        <w:ind w:right="260"/>
        <w:spacing w:after="0" w:line="315" w:lineRule="auto"/>
        <w:rPr>
          <w:sz w:val="20"/>
          <w:szCs w:val="20"/>
          <w:color w:val="auto"/>
        </w:rPr>
      </w:pPr>
      <w:r>
        <w:rPr>
          <w:rFonts w:ascii="Times New Roman" w:cs="Times New Roman" w:eastAsia="Times New Roman" w:hAnsi="Times New Roman"/>
          <w:sz w:val="19"/>
          <w:szCs w:val="19"/>
          <w:color w:val="454546"/>
        </w:rPr>
        <w:t>In December 2025, upon the New Premises Delivery Date, contingencies related to the New Premises Delivery Date were resolved. The lease related to the portion of space being sublet was terminated immediately upon the New Premises Delivery</w:t>
      </w:r>
    </w:p>
    <w:p>
      <w:pPr>
        <w:sectPr>
          <w:pgSz w:w="11880" w:h="15480" w:orient="portrait"/>
          <w:cols w:equalWidth="0" w:num="1">
            <w:col w:w="10260"/>
          </w:cols>
          <w:pgMar w:left="820" w:top="504" w:right="800" w:bottom="0" w:gutter="0" w:footer="0" w:header="0"/>
        </w:sect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94</w:t>
      </w:r>
    </w:p>
    <w:p>
      <w:pPr>
        <w:sectPr>
          <w:pgSz w:w="11880" w:h="15480" w:orient="portrait"/>
          <w:cols w:equalWidth="0" w:num="1">
            <w:col w:w="10260"/>
          </w:cols>
          <w:pgMar w:left="820" w:top="504" w:right="800" w:bottom="0" w:gutter="0" w:footer="0" w:header="0"/>
          <w:type w:val="continuous"/>
        </w:sectPr>
      </w:pPr>
    </w:p>
    <w:bookmarkStart w:id="96" w:name="page97"/>
    <w:bookmarkEnd w:id="96"/>
    <w:p>
      <w:pPr>
        <w:ind w:left="20"/>
        <w:spacing w:after="0" w:line="259" w:lineRule="auto"/>
        <w:rPr>
          <w:sz w:val="20"/>
          <w:szCs w:val="20"/>
          <w:color w:val="auto"/>
        </w:rPr>
      </w:pPr>
      <w:r>
        <w:rPr>
          <w:rFonts w:ascii="Times New Roman" w:cs="Times New Roman" w:eastAsia="Times New Roman" w:hAnsi="Times New Roman"/>
          <w:sz w:val="20"/>
          <w:szCs w:val="20"/>
          <w:color w:val="454546"/>
        </w:rPr>
        <w:t>Date. Additionally, under the amended Office Lease, the term of the remaining portions of the lease was shortened from September 2028 to the date the landlord provides a 15-day notice of termination, which the landlord can provide starting February 1, 2026, with an outside termination date of December 31, 2026. As of the New Premises Delivery Date in December 2025 the Company is not obligated to make any further payments with respect to the Office Lease and the Company vacated the Office Lease space in December 2025.</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454546"/>
        </w:rPr>
        <w:t>Lease accounting</w:t>
      </w:r>
    </w:p>
    <w:p>
      <w:pPr>
        <w:spacing w:after="0" w:line="130" w:lineRule="exact"/>
        <w:rPr>
          <w:sz w:val="20"/>
          <w:szCs w:val="20"/>
          <w:color w:val="auto"/>
        </w:rPr>
      </w:pPr>
    </w:p>
    <w:p>
      <w:pPr>
        <w:jc w:val="both"/>
        <w:ind w:left="20" w:right="60"/>
        <w:spacing w:after="0" w:line="269" w:lineRule="auto"/>
        <w:rPr>
          <w:sz w:val="20"/>
          <w:szCs w:val="20"/>
          <w:color w:val="auto"/>
        </w:rPr>
      </w:pPr>
      <w:r>
        <w:rPr>
          <w:rFonts w:ascii="Times New Roman" w:cs="Times New Roman" w:eastAsia="Times New Roman" w:hAnsi="Times New Roman"/>
          <w:sz w:val="20"/>
          <w:szCs w:val="20"/>
          <w:color w:val="454546"/>
        </w:rPr>
        <w:t xml:space="preserve">The Company accounted for the amendment to the Office Lease and the New Lease as one combined contract under ASC 842, </w:t>
      </w:r>
      <w:r>
        <w:rPr>
          <w:rFonts w:ascii="Times New Roman" w:cs="Times New Roman" w:eastAsia="Times New Roman" w:hAnsi="Times New Roman"/>
          <w:sz w:val="20"/>
          <w:szCs w:val="20"/>
          <w:i w:val="1"/>
          <w:iCs w:val="1"/>
          <w:color w:val="454546"/>
        </w:rPr>
        <w:t xml:space="preserve">Leases (Topic 842) </w:t>
      </w:r>
      <w:r>
        <w:rPr>
          <w:rFonts w:ascii="Times New Roman" w:cs="Times New Roman" w:eastAsia="Times New Roman" w:hAnsi="Times New Roman"/>
          <w:sz w:val="20"/>
          <w:szCs w:val="20"/>
          <w:color w:val="454546"/>
        </w:rPr>
        <w:t>because the agreements were entered into at the same time, with the same counterparty and were negotiated</w:t>
      </w:r>
      <w:r>
        <w:rPr>
          <w:rFonts w:ascii="Times New Roman" w:cs="Times New Roman" w:eastAsia="Times New Roman" w:hAnsi="Times New Roman"/>
          <w:sz w:val="20"/>
          <w:szCs w:val="20"/>
          <w:i w:val="1"/>
          <w:iCs w:val="1"/>
          <w:color w:val="454546"/>
        </w:rPr>
        <w:t xml:space="preserve"> </w:t>
      </w:r>
      <w:r>
        <w:rPr>
          <w:rFonts w:ascii="Times New Roman" w:cs="Times New Roman" w:eastAsia="Times New Roman" w:hAnsi="Times New Roman"/>
          <w:sz w:val="20"/>
          <w:szCs w:val="20"/>
          <w:color w:val="454546"/>
        </w:rPr>
        <w:t>as a package with the same commercial objective.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454546"/>
        </w:rPr>
        <w:t>In June 2025, in connection with the shortened term to December 31, 2026 for a portion of the leased space and the reduction of</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fixed payments, the Company remeasured the right-of-use asset and lease liability related to the Office Lease for the non-</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contingent modification at the modification date, which resulted in a reduction to the right-of-use asset and lease liabilities of</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454546"/>
        </w:rPr>
        <w:t>$8.8 million. With respect to the contingent modifications of other portions of the lease, as the New Premises Delivery Date and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the related Office Lease termination dates were not in the control of the Company, the Company did not remeasure the term for</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454546"/>
        </w:rPr>
        <w:t>these portions of the Office Lease for financial accounting purposes until the contingencies were resolved in December 2025.</w:t>
      </w:r>
    </w:p>
    <w:p>
      <w:pPr>
        <w:spacing w:after="0" w:line="105" w:lineRule="exact"/>
        <w:rPr>
          <w:sz w:val="20"/>
          <w:szCs w:val="20"/>
          <w:color w:val="auto"/>
        </w:rPr>
      </w:pPr>
    </w:p>
    <w:p>
      <w:pPr>
        <w:ind w:right="80" w:firstLine="1"/>
        <w:spacing w:after="0" w:line="254" w:lineRule="auto"/>
        <w:rPr>
          <w:sz w:val="20"/>
          <w:szCs w:val="20"/>
          <w:color w:val="auto"/>
        </w:rPr>
      </w:pPr>
      <w:r>
        <w:rPr>
          <w:rFonts w:ascii="Times New Roman" w:cs="Times New Roman" w:eastAsia="Times New Roman" w:hAnsi="Times New Roman"/>
          <w:sz w:val="20"/>
          <w:szCs w:val="20"/>
          <w:color w:val="454546"/>
        </w:rPr>
        <w:t>In December 2025, upon resolution of contingencies related to the New Premises Delivery Date, the Company remeasured the right-of-use asset and lease liabilities related to the shortened lease term and elimination of remaining payments for the Office Lease, which resulted in a reduction to lease liabilities of $21.3 million related to the elimination of future payments under the Office Lease and a reduction to the remaining right-of-use asset of $9.6 million to reduce the right-of-use asset balance to zero. The reduction to the lease liability that would have reduced the right-of-use asset to below zero, or negative amount, was first recorded as a gain on lease modification of $1.6 million in the consolidated statement of operations and comprehensive loss, representing a previous impairment amount recorded on the Office Lease. Because the portion related to the previously recognized impairment is not an element of the arrangement with the lessor, and therefore, it is not akin to a lease incentive. The remaining negative amount $10.1 million was recorded as a lease incentive to reduce the right-of-use asset related to the New Lease, as the amendment to the Office Lease and the New Lease were combined and accounted for as a single transaction with the same counterparty.</w:t>
      </w:r>
    </w:p>
    <w:p>
      <w:pPr>
        <w:spacing w:after="0" w:line="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454546"/>
        </w:rPr>
        <w:t>In December 2025, upon commencement of the New Lease, which was the date the landlord made the premises available to the Company for its use, the Company recorded a right-of-use asset of $31.0 million, net of the $10.1 million remaining negative amount from the Office Lease, and lease liabilities of $41.1 million. As of December 31, 2025, the balances of the lease liability and right-of-use asset for the Office Lease were zero.</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The components of lease expense were as follows for the years ended December 31, 2025 and 2024 (in thousands):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2380" w:type="dxa"/>
            <w:vAlign w:val="bottom"/>
            <w:tcBorders>
              <w:bottom w:val="single" w:sz="8" w:color="231F20"/>
            </w:tcBorders>
            <w:gridSpan w:val="5"/>
          </w:tcPr>
          <w:p>
            <w:pPr>
              <w:jc w:val="right"/>
              <w:ind w:right="365"/>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2"/>
        </w:trPr>
        <w:tc>
          <w:tcPr>
            <w:tcW w:w="754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60" w:type="dxa"/>
            <w:vAlign w:val="bottom"/>
            <w:tcBorders>
              <w:bottom w:val="single" w:sz="8" w:color="E3E4E5"/>
            </w:tcBorders>
          </w:tcPr>
          <w:p>
            <w:pPr>
              <w:spacing w:after="0"/>
              <w:rPr>
                <w:sz w:val="19"/>
                <w:szCs w:val="19"/>
                <w:color w:val="auto"/>
              </w:rPr>
            </w:pPr>
          </w:p>
        </w:tc>
        <w:tc>
          <w:tcPr>
            <w:tcW w:w="20" w:type="dxa"/>
            <w:vAlign w:val="bottom"/>
            <w:tcBorders>
              <w:bottom w:val="single" w:sz="8" w:color="E3E4E5"/>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64"/>
        </w:trPr>
        <w:tc>
          <w:tcPr>
            <w:tcW w:w="756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Operating lease cost</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6,060</w:t>
            </w:r>
          </w:p>
        </w:tc>
        <w:tc>
          <w:tcPr>
            <w:tcW w:w="60" w:type="dxa"/>
            <w:vAlign w:val="bottom"/>
            <w:shd w:val="clear" w:color="auto" w:fill="E3E4E5"/>
          </w:tcPr>
          <w:p>
            <w:pPr>
              <w:spacing w:after="0"/>
              <w:rPr>
                <w:sz w:val="22"/>
                <w:szCs w:val="22"/>
                <w:color w:val="auto"/>
              </w:rPr>
            </w:pPr>
          </w:p>
        </w:tc>
        <w:tc>
          <w:tcPr>
            <w:tcW w:w="34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7,921</w:t>
            </w:r>
          </w:p>
        </w:tc>
      </w:tr>
      <w:tr>
        <w:trPr>
          <w:trHeight w:val="285"/>
        </w:trPr>
        <w:tc>
          <w:tcPr>
            <w:tcW w:w="756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454546"/>
              </w:rPr>
              <w:t>Variable lease cost</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2,655</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3,054</w:t>
            </w:r>
          </w:p>
        </w:tc>
      </w:tr>
      <w:tr>
        <w:trPr>
          <w:trHeight w:val="268"/>
        </w:trPr>
        <w:tc>
          <w:tcPr>
            <w:tcW w:w="7540" w:type="dxa"/>
            <w:vAlign w:val="bottom"/>
            <w:shd w:val="clear" w:color="auto" w:fill="E3E4E5"/>
          </w:tcPr>
          <w:p>
            <w:pPr>
              <w:spacing w:after="0"/>
              <w:rPr>
                <w:sz w:val="23"/>
                <w:szCs w:val="23"/>
                <w:color w:val="auto"/>
              </w:rPr>
            </w:pPr>
          </w:p>
        </w:tc>
        <w:tc>
          <w:tcPr>
            <w:tcW w:w="20" w:type="dxa"/>
            <w:vAlign w:val="bottom"/>
            <w:tcBorders>
              <w:bottom w:val="single" w:sz="8" w:color="231F20"/>
            </w:tcBorders>
            <w:shd w:val="clear" w:color="auto" w:fill="E3E4E5"/>
          </w:tcPr>
          <w:p>
            <w:pPr>
              <w:spacing w:after="0"/>
              <w:rPr>
                <w:sz w:val="23"/>
                <w:szCs w:val="23"/>
                <w:color w:val="auto"/>
              </w:rPr>
            </w:pPr>
          </w:p>
        </w:tc>
        <w:tc>
          <w:tcPr>
            <w:tcW w:w="3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8,715</w:t>
            </w:r>
          </w:p>
        </w:tc>
        <w:tc>
          <w:tcPr>
            <w:tcW w:w="60" w:type="dxa"/>
            <w:vAlign w:val="bottom"/>
            <w:shd w:val="clear" w:color="auto" w:fill="E3E4E5"/>
          </w:tcPr>
          <w:p>
            <w:pPr>
              <w:spacing w:after="0"/>
              <w:rPr>
                <w:sz w:val="23"/>
                <w:szCs w:val="23"/>
                <w:color w:val="auto"/>
              </w:rPr>
            </w:pPr>
          </w:p>
        </w:tc>
        <w:tc>
          <w:tcPr>
            <w:tcW w:w="340" w:type="dxa"/>
            <w:vAlign w:val="bottom"/>
            <w:tcBorders>
              <w:bottom w:val="single" w:sz="8" w:color="231F20"/>
            </w:tcBorders>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10,975</w:t>
            </w:r>
          </w:p>
        </w:tc>
      </w:tr>
      <w:tr>
        <w:trPr>
          <w:trHeight w:val="20"/>
        </w:trPr>
        <w:tc>
          <w:tcPr>
            <w:tcW w:w="75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r>
    </w:tbl>
    <w:p>
      <w:pPr>
        <w:spacing w:after="0" w:line="191" w:lineRule="exact"/>
        <w:rPr>
          <w:sz w:val="20"/>
          <w:szCs w:val="20"/>
          <w:color w:val="auto"/>
        </w:rPr>
      </w:pPr>
    </w:p>
    <w:p>
      <w:pPr>
        <w:ind w:left="20" w:right="540"/>
        <w:spacing w:after="0" w:line="287" w:lineRule="auto"/>
        <w:rPr>
          <w:sz w:val="20"/>
          <w:szCs w:val="20"/>
          <w:color w:val="auto"/>
        </w:rPr>
      </w:pPr>
      <w:r>
        <w:rPr>
          <w:rFonts w:ascii="Times New Roman" w:cs="Times New Roman" w:eastAsia="Times New Roman" w:hAnsi="Times New Roman"/>
          <w:sz w:val="20"/>
          <w:szCs w:val="20"/>
          <w:color w:val="454546"/>
        </w:rPr>
        <w:t>Supplemental disclosure of cash flow information and non-cash investing and financing activities related to leases was as follows (in thousands):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4"/>
          </w:tcPr>
          <w:p>
            <w:pPr>
              <w:jc w:val="right"/>
              <w:ind w:right="364"/>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
        </w:trPr>
        <w:tc>
          <w:tcPr>
            <w:tcW w:w="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r>
      <w:tr>
        <w:trPr>
          <w:trHeight w:val="234"/>
        </w:trPr>
        <w:tc>
          <w:tcPr>
            <w:tcW w:w="40" w:type="dxa"/>
            <w:vAlign w:val="bottom"/>
            <w:tcBorders>
              <w:bottom w:val="single" w:sz="8" w:color="E3E4E5"/>
            </w:tcBorders>
          </w:tcPr>
          <w:p>
            <w:pPr>
              <w:spacing w:after="0"/>
              <w:rPr>
                <w:sz w:val="20"/>
                <w:szCs w:val="20"/>
                <w:color w:val="auto"/>
              </w:rPr>
            </w:pPr>
          </w:p>
        </w:tc>
        <w:tc>
          <w:tcPr>
            <w:tcW w:w="7460" w:type="dxa"/>
            <w:vAlign w:val="bottom"/>
            <w:tcBorders>
              <w:bottom w:val="single" w:sz="8" w:color="E3E4E5"/>
            </w:tcBorders>
          </w:tcPr>
          <w:p>
            <w:pPr>
              <w:spacing w:after="0"/>
              <w:rPr>
                <w:sz w:val="20"/>
                <w:szCs w:val="20"/>
                <w:color w:val="auto"/>
              </w:rPr>
            </w:pPr>
          </w:p>
        </w:tc>
        <w:tc>
          <w:tcPr>
            <w:tcW w:w="6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46"/>
        </w:trPr>
        <w:tc>
          <w:tcPr>
            <w:tcW w:w="40" w:type="dxa"/>
            <w:vAlign w:val="bottom"/>
            <w:tcBorders>
              <w:bottom w:val="single" w:sz="8" w:color="E3E4E5"/>
            </w:tcBorders>
            <w:shd w:val="clear" w:color="auto" w:fill="E3E4E5"/>
          </w:tcPr>
          <w:p>
            <w:pPr>
              <w:spacing w:after="0"/>
              <w:rPr>
                <w:sz w:val="21"/>
                <w:szCs w:val="21"/>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Supplemental cash flow information:</w:t>
            </w:r>
          </w:p>
        </w:tc>
        <w:tc>
          <w:tcPr>
            <w:tcW w:w="60" w:type="dxa"/>
            <w:vAlign w:val="bottom"/>
            <w:tcBorders>
              <w:bottom w:val="single" w:sz="8" w:color="E3E4E5"/>
            </w:tcBorders>
            <w:shd w:val="clear" w:color="auto" w:fill="E3E4E5"/>
          </w:tcPr>
          <w:p>
            <w:pPr>
              <w:spacing w:after="0"/>
              <w:rPr>
                <w:sz w:val="21"/>
                <w:szCs w:val="21"/>
                <w:color w:val="auto"/>
              </w:rPr>
            </w:pPr>
          </w:p>
        </w:tc>
        <w:tc>
          <w:tcPr>
            <w:tcW w:w="300" w:type="dxa"/>
            <w:vAlign w:val="bottom"/>
            <w:tcBorders>
              <w:bottom w:val="single" w:sz="8" w:color="E3E4E5"/>
            </w:tcBorders>
            <w:shd w:val="clear" w:color="auto" w:fill="E3E4E5"/>
          </w:tcPr>
          <w:p>
            <w:pPr>
              <w:spacing w:after="0"/>
              <w:rPr>
                <w:sz w:val="21"/>
                <w:szCs w:val="21"/>
                <w:color w:val="auto"/>
              </w:rPr>
            </w:pPr>
          </w:p>
        </w:tc>
        <w:tc>
          <w:tcPr>
            <w:tcW w:w="1000" w:type="dxa"/>
            <w:vAlign w:val="bottom"/>
            <w:tcBorders>
              <w:bottom w:val="single" w:sz="8" w:color="E3E4E5"/>
            </w:tcBorders>
            <w:shd w:val="clear" w:color="auto" w:fill="E3E4E5"/>
          </w:tcPr>
          <w:p>
            <w:pPr>
              <w:spacing w:after="0"/>
              <w:rPr>
                <w:sz w:val="21"/>
                <w:szCs w:val="21"/>
                <w:color w:val="auto"/>
              </w:rPr>
            </w:pPr>
          </w:p>
        </w:tc>
        <w:tc>
          <w:tcPr>
            <w:tcW w:w="80" w:type="dxa"/>
            <w:vAlign w:val="bottom"/>
            <w:tcBorders>
              <w:bottom w:val="single" w:sz="8" w:color="E3E4E5"/>
            </w:tcBorders>
            <w:shd w:val="clear" w:color="auto" w:fill="E3E4E5"/>
          </w:tcPr>
          <w:p>
            <w:pPr>
              <w:spacing w:after="0"/>
              <w:rPr>
                <w:sz w:val="21"/>
                <w:szCs w:val="21"/>
                <w:color w:val="auto"/>
              </w:rPr>
            </w:pPr>
          </w:p>
        </w:tc>
        <w:tc>
          <w:tcPr>
            <w:tcW w:w="320" w:type="dxa"/>
            <w:vAlign w:val="bottom"/>
            <w:tcBorders>
              <w:bottom w:val="single" w:sz="8" w:color="E3E4E5"/>
            </w:tcBorders>
            <w:shd w:val="clear" w:color="auto" w:fill="E3E4E5"/>
          </w:tcPr>
          <w:p>
            <w:pPr>
              <w:spacing w:after="0"/>
              <w:rPr>
                <w:sz w:val="21"/>
                <w:szCs w:val="21"/>
                <w:color w:val="auto"/>
              </w:rPr>
            </w:pPr>
          </w:p>
        </w:tc>
        <w:tc>
          <w:tcPr>
            <w:tcW w:w="980" w:type="dxa"/>
            <w:vAlign w:val="bottom"/>
            <w:tcBorders>
              <w:bottom w:val="single" w:sz="8" w:color="E3E4E5"/>
            </w:tcBorders>
            <w:shd w:val="clear" w:color="auto" w:fill="E3E4E5"/>
          </w:tcPr>
          <w:p>
            <w:pPr>
              <w:spacing w:after="0"/>
              <w:rPr>
                <w:sz w:val="21"/>
                <w:szCs w:val="21"/>
                <w:color w:val="auto"/>
              </w:rPr>
            </w:pPr>
          </w:p>
        </w:tc>
      </w:tr>
      <w:tr>
        <w:trPr>
          <w:trHeight w:val="265"/>
        </w:trPr>
        <w:tc>
          <w:tcPr>
            <w:tcW w:w="4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454546"/>
              </w:rPr>
              <w:t>Cash paid for amounts included in the measurement of operating lease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8,775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10,736</w:t>
            </w:r>
          </w:p>
        </w:tc>
      </w:tr>
      <w:tr>
        <w:trPr>
          <w:trHeight w:val="20"/>
        </w:trPr>
        <w:tc>
          <w:tcPr>
            <w:tcW w:w="4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3"/>
        </w:trPr>
        <w:tc>
          <w:tcPr>
            <w:tcW w:w="40" w:type="dxa"/>
            <w:vAlign w:val="bottom"/>
            <w:tcBorders>
              <w:bottom w:val="single" w:sz="8" w:color="E3E4E5"/>
            </w:tcBorders>
            <w:shd w:val="clear" w:color="auto" w:fill="E3E4E5"/>
          </w:tcPr>
          <w:p>
            <w:pPr>
              <w:spacing w:after="0"/>
              <w:rPr>
                <w:sz w:val="22"/>
                <w:szCs w:val="22"/>
                <w:color w:val="auto"/>
              </w:rPr>
            </w:pPr>
          </w:p>
        </w:tc>
        <w:tc>
          <w:tcPr>
            <w:tcW w:w="746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54546"/>
              </w:rPr>
              <w:t>Non-cash investing and financing activities:</w:t>
            </w:r>
          </w:p>
        </w:tc>
        <w:tc>
          <w:tcPr>
            <w:tcW w:w="60" w:type="dxa"/>
            <w:vAlign w:val="bottom"/>
            <w:tcBorders>
              <w:bottom w:val="single" w:sz="8" w:color="E3E4E5"/>
            </w:tcBorders>
            <w:shd w:val="clear" w:color="auto" w:fill="E3E4E5"/>
          </w:tcPr>
          <w:p>
            <w:pPr>
              <w:spacing w:after="0"/>
              <w:rPr>
                <w:sz w:val="22"/>
                <w:szCs w:val="22"/>
                <w:color w:val="auto"/>
              </w:rPr>
            </w:pPr>
          </w:p>
        </w:tc>
        <w:tc>
          <w:tcPr>
            <w:tcW w:w="300" w:type="dxa"/>
            <w:vAlign w:val="bottom"/>
            <w:tcBorders>
              <w:bottom w:val="single" w:sz="8" w:color="E3E4E5"/>
            </w:tcBorders>
            <w:shd w:val="clear" w:color="auto" w:fill="E3E4E5"/>
          </w:tcPr>
          <w:p>
            <w:pPr>
              <w:spacing w:after="0"/>
              <w:rPr>
                <w:sz w:val="22"/>
                <w:szCs w:val="22"/>
                <w:color w:val="auto"/>
              </w:rPr>
            </w:pPr>
          </w:p>
        </w:tc>
        <w:tc>
          <w:tcPr>
            <w:tcW w:w="1000" w:type="dxa"/>
            <w:vAlign w:val="bottom"/>
            <w:tcBorders>
              <w:bottom w:val="single" w:sz="8" w:color="E3E4E5"/>
            </w:tcBorders>
            <w:shd w:val="clear" w:color="auto" w:fill="E3E4E5"/>
          </w:tcPr>
          <w:p>
            <w:pPr>
              <w:spacing w:after="0"/>
              <w:rPr>
                <w:sz w:val="22"/>
                <w:szCs w:val="22"/>
                <w:color w:val="auto"/>
              </w:rPr>
            </w:pPr>
          </w:p>
        </w:tc>
        <w:tc>
          <w:tcPr>
            <w:tcW w:w="80" w:type="dxa"/>
            <w:vAlign w:val="bottom"/>
            <w:tcBorders>
              <w:bottom w:val="single" w:sz="8" w:color="E3E4E5"/>
            </w:tcBorders>
            <w:shd w:val="clear" w:color="auto" w:fill="E3E4E5"/>
          </w:tcPr>
          <w:p>
            <w:pPr>
              <w:spacing w:after="0"/>
              <w:rPr>
                <w:sz w:val="22"/>
                <w:szCs w:val="22"/>
                <w:color w:val="auto"/>
              </w:rPr>
            </w:pPr>
          </w:p>
        </w:tc>
        <w:tc>
          <w:tcPr>
            <w:tcW w:w="320" w:type="dxa"/>
            <w:vAlign w:val="bottom"/>
            <w:tcBorders>
              <w:bottom w:val="single" w:sz="8" w:color="E3E4E5"/>
            </w:tcBorders>
            <w:shd w:val="clear" w:color="auto" w:fill="E3E4E5"/>
          </w:tcPr>
          <w:p>
            <w:pPr>
              <w:spacing w:after="0"/>
              <w:rPr>
                <w:sz w:val="22"/>
                <w:szCs w:val="22"/>
                <w:color w:val="auto"/>
              </w:rPr>
            </w:pPr>
          </w:p>
        </w:tc>
        <w:tc>
          <w:tcPr>
            <w:tcW w:w="980" w:type="dxa"/>
            <w:vAlign w:val="bottom"/>
            <w:tcBorders>
              <w:bottom w:val="single" w:sz="8" w:color="E3E4E5"/>
            </w:tcBorders>
            <w:shd w:val="clear" w:color="auto" w:fill="E3E4E5"/>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454546"/>
              </w:rPr>
              <w:t>Financing lease liabilities arising from obtaining right-of-use assets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1,200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0"/>
        </w:trPr>
        <w:tc>
          <w:tcPr>
            <w:tcW w:w="4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6"/>
        </w:trPr>
        <w:tc>
          <w:tcPr>
            <w:tcW w:w="40" w:type="dxa"/>
            <w:vAlign w:val="bottom"/>
            <w:tcBorders>
              <w:bottom w:val="single" w:sz="8" w:color="E3E4E5"/>
            </w:tcBorders>
            <w:shd w:val="clear" w:color="auto" w:fill="E3E4E5"/>
          </w:tcPr>
          <w:p>
            <w:pPr>
              <w:spacing w:after="0"/>
              <w:rPr>
                <w:sz w:val="23"/>
                <w:szCs w:val="23"/>
                <w:color w:val="auto"/>
              </w:rPr>
            </w:pPr>
          </w:p>
        </w:tc>
        <w:tc>
          <w:tcPr>
            <w:tcW w:w="7460" w:type="dxa"/>
            <w:vAlign w:val="bottom"/>
            <w:tcBorders>
              <w:bottom w:val="single" w:sz="8" w:color="E3E4E5"/>
            </w:tcBorders>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Reduction of right-of-use assets from remeasurement of lease liabilities</w:t>
            </w:r>
          </w:p>
        </w:tc>
        <w:tc>
          <w:tcPr>
            <w:tcW w:w="60" w:type="dxa"/>
            <w:vAlign w:val="bottom"/>
            <w:tcBorders>
              <w:bottom w:val="single" w:sz="8" w:color="E3E4E5"/>
            </w:tcBorders>
            <w:shd w:val="clear" w:color="auto" w:fill="E3E4E5"/>
          </w:tcPr>
          <w:p>
            <w:pPr>
              <w:spacing w:after="0"/>
              <w:rPr>
                <w:sz w:val="23"/>
                <w:szCs w:val="23"/>
                <w:color w:val="auto"/>
              </w:rPr>
            </w:pPr>
          </w:p>
        </w:tc>
        <w:tc>
          <w:tcPr>
            <w:tcW w:w="300" w:type="dxa"/>
            <w:vAlign w:val="bottom"/>
            <w:tcBorders>
              <w:bottom w:val="single" w:sz="8" w:color="E3E4E5"/>
            </w:tcBorders>
            <w:shd w:val="clear" w:color="auto" w:fill="E3E4E5"/>
          </w:tcPr>
          <w:p>
            <w:pPr>
              <w:spacing w:after="0"/>
              <w:rPr>
                <w:sz w:val="23"/>
                <w:szCs w:val="23"/>
                <w:color w:val="auto"/>
              </w:rPr>
            </w:pPr>
          </w:p>
        </w:tc>
        <w:tc>
          <w:tcPr>
            <w:tcW w:w="10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18,382</w:t>
            </w:r>
          </w:p>
        </w:tc>
        <w:tc>
          <w:tcPr>
            <w:tcW w:w="80" w:type="dxa"/>
            <w:vAlign w:val="bottom"/>
            <w:tcBorders>
              <w:bottom w:val="single" w:sz="8" w:color="E3E4E5"/>
            </w:tcBorders>
            <w:shd w:val="clear" w:color="auto" w:fill="E3E4E5"/>
          </w:tcPr>
          <w:p>
            <w:pPr>
              <w:spacing w:after="0"/>
              <w:rPr>
                <w:sz w:val="23"/>
                <w:szCs w:val="23"/>
                <w:color w:val="auto"/>
              </w:rPr>
            </w:pPr>
          </w:p>
        </w:tc>
        <w:tc>
          <w:tcPr>
            <w:tcW w:w="32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w:t>
            </w:r>
          </w:p>
        </w:tc>
      </w:tr>
      <w:tr>
        <w:trPr>
          <w:trHeight w:val="265"/>
        </w:trPr>
        <w:tc>
          <w:tcPr>
            <w:tcW w:w="4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454546"/>
              </w:rPr>
              <w:t>Operating lease liabilities arising from obtaining right-of-use assets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41,143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w:t>
            </w:r>
          </w:p>
        </w:tc>
      </w:tr>
    </w:tbl>
    <w:p>
      <w:pPr>
        <w:spacing w:after="0" w:line="200" w:lineRule="exact"/>
        <w:rPr>
          <w:sz w:val="20"/>
          <w:szCs w:val="20"/>
          <w:color w:val="auto"/>
        </w:rPr>
      </w:pPr>
    </w:p>
    <w:p>
      <w:pPr>
        <w:sectPr>
          <w:pgSz w:w="11880" w:h="15480" w:orient="portrait"/>
          <w:cols w:equalWidth="0" w:num="1">
            <w:col w:w="10260"/>
          </w:cols>
          <w:pgMar w:left="800" w:top="50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95</w:t>
      </w:r>
    </w:p>
    <w:p>
      <w:pPr>
        <w:sectPr>
          <w:pgSz w:w="11880" w:h="15480" w:orient="portrait"/>
          <w:cols w:equalWidth="0" w:num="1">
            <w:col w:w="10260"/>
          </w:cols>
          <w:pgMar w:left="800" w:top="504" w:right="820" w:bottom="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20"/>
          <w:szCs w:val="20"/>
          <w:color w:val="454546"/>
        </w:rPr>
        <w:t>The weighted average remaining lease term and discount rate was as follows: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7500" w:type="dxa"/>
            <w:vAlign w:val="bottom"/>
            <w:tcBorders>
              <w:bottom w:val="single" w:sz="8" w:color="E3E4E5"/>
            </w:tcBorders>
          </w:tcPr>
          <w:p>
            <w:pPr>
              <w:spacing w:after="0"/>
              <w:rPr>
                <w:sz w:val="20"/>
                <w:szCs w:val="20"/>
                <w:color w:val="auto"/>
              </w:rPr>
            </w:pPr>
          </w:p>
        </w:tc>
        <w:tc>
          <w:tcPr>
            <w:tcW w:w="60" w:type="dxa"/>
            <w:vAlign w:val="bottom"/>
            <w:tcBorders>
              <w:bottom w:val="single" w:sz="8" w:color="E3E4E5"/>
            </w:tcBorders>
          </w:tcPr>
          <w:p>
            <w:pPr>
              <w:spacing w:after="0"/>
              <w:rPr>
                <w:sz w:val="20"/>
                <w:szCs w:val="20"/>
                <w:color w:val="auto"/>
              </w:rPr>
            </w:pPr>
          </w:p>
        </w:tc>
        <w:tc>
          <w:tcPr>
            <w:tcW w:w="13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80" w:type="dxa"/>
            <w:vAlign w:val="bottom"/>
            <w:tcBorders>
              <w:bottom w:val="single" w:sz="8" w:color="E3E4E5"/>
            </w:tcBorders>
          </w:tcPr>
          <w:p>
            <w:pPr>
              <w:spacing w:after="0"/>
              <w:rPr>
                <w:sz w:val="20"/>
                <w:szCs w:val="20"/>
                <w:color w:val="auto"/>
              </w:rPr>
            </w:pPr>
          </w:p>
        </w:tc>
        <w:tc>
          <w:tcPr>
            <w:tcW w:w="130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454546"/>
              </w:rPr>
              <w:t>2024</w:t>
            </w:r>
          </w:p>
        </w:tc>
      </w:tr>
      <w:tr>
        <w:trPr>
          <w:trHeight w:val="265"/>
        </w:trPr>
        <w:tc>
          <w:tcPr>
            <w:tcW w:w="7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Weighted-average remaining lease term—operating leases (in years)</w:t>
            </w:r>
          </w:p>
        </w:tc>
        <w:tc>
          <w:tcPr>
            <w:tcW w:w="13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9.7</w:t>
            </w:r>
          </w:p>
        </w:tc>
        <w:tc>
          <w:tcPr>
            <w:tcW w:w="13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3.7</w:t>
            </w:r>
          </w:p>
        </w:tc>
      </w:tr>
      <w:tr>
        <w:trPr>
          <w:trHeight w:val="271"/>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454546"/>
              </w:rPr>
              <w:t>Weighted-average discount rate—operating leases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7.24 %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454546"/>
              </w:rPr>
              <w:t>5.30 %</w:t>
            </w:r>
          </w:p>
        </w:tc>
      </w:tr>
    </w:tbl>
    <w:p>
      <w:pPr>
        <w:spacing w:after="0" w:line="85" w:lineRule="exact"/>
        <w:rPr>
          <w:sz w:val="20"/>
          <w:szCs w:val="20"/>
          <w:color w:val="auto"/>
        </w:rPr>
      </w:pPr>
    </w:p>
    <w:p>
      <w:pPr>
        <w:ind w:left="60" w:right="200"/>
        <w:spacing w:after="0" w:line="262" w:lineRule="auto"/>
        <w:rPr>
          <w:sz w:val="20"/>
          <w:szCs w:val="20"/>
          <w:color w:val="auto"/>
        </w:rPr>
      </w:pPr>
      <w:r>
        <w:rPr>
          <w:rFonts w:ascii="Times New Roman" w:cs="Times New Roman" w:eastAsia="Times New Roman" w:hAnsi="Times New Roman"/>
          <w:sz w:val="20"/>
          <w:szCs w:val="20"/>
          <w:color w:val="454546"/>
        </w:rPr>
        <w:t>As the Company’s leases do not provide an implicit rate, the Company’s estimated incremental borrowing rate was used to calculate the present value of the leases. In determining its incremental borrowing rate, the Company considered its credit quality and assessed interest rates available in the market for similar borrowings, adjusted for the impact of collateral over the term of the leases.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Future payments for the Company’s operating lease liabilities as of December 31, 2025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620" w:type="dxa"/>
            <w:vAlign w:val="bottom"/>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2026</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8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979</w:t>
            </w:r>
          </w:p>
        </w:tc>
        <w:tc>
          <w:tcPr>
            <w:tcW w:w="80" w:type="dxa"/>
            <w:vAlign w:val="bottom"/>
          </w:tcPr>
          <w:p>
            <w:pPr>
              <w:spacing w:after="0"/>
              <w:rPr>
                <w:sz w:val="24"/>
                <w:szCs w:val="24"/>
                <w:color w:val="auto"/>
              </w:rPr>
            </w:pPr>
          </w:p>
        </w:tc>
      </w:tr>
      <w:tr>
        <w:trPr>
          <w:trHeight w:val="277"/>
        </w:trPr>
        <w:tc>
          <w:tcPr>
            <w:tcW w:w="7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454546"/>
              </w:rPr>
              <w:t>2027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4,280</w:t>
            </w:r>
          </w:p>
        </w:tc>
        <w:tc>
          <w:tcPr>
            <w:tcW w:w="80" w:type="dxa"/>
            <w:vAlign w:val="bottom"/>
          </w:tcPr>
          <w:p>
            <w:pPr>
              <w:spacing w:after="0"/>
              <w:rPr>
                <w:sz w:val="24"/>
                <w:szCs w:val="24"/>
                <w:color w:val="auto"/>
              </w:rPr>
            </w:pPr>
          </w:p>
        </w:tc>
      </w:tr>
      <w:tr>
        <w:trPr>
          <w:trHeight w:val="292"/>
        </w:trPr>
        <w:tc>
          <w:tcPr>
            <w:tcW w:w="7620" w:type="dxa"/>
            <w:vAlign w:val="bottom"/>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2028</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5,713</w:t>
            </w:r>
          </w:p>
        </w:tc>
        <w:tc>
          <w:tcPr>
            <w:tcW w:w="80" w:type="dxa"/>
            <w:vAlign w:val="bottom"/>
          </w:tcPr>
          <w:p>
            <w:pPr>
              <w:spacing w:after="0"/>
              <w:rPr>
                <w:sz w:val="24"/>
                <w:szCs w:val="24"/>
                <w:color w:val="auto"/>
              </w:rPr>
            </w:pPr>
          </w:p>
        </w:tc>
      </w:tr>
      <w:tr>
        <w:trPr>
          <w:trHeight w:val="278"/>
        </w:trPr>
        <w:tc>
          <w:tcPr>
            <w:tcW w:w="76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454546"/>
              </w:rPr>
              <w:t>2029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6,774</w:t>
            </w:r>
          </w:p>
        </w:tc>
        <w:tc>
          <w:tcPr>
            <w:tcW w:w="80" w:type="dxa"/>
            <w:vAlign w:val="bottom"/>
          </w:tcPr>
          <w:p>
            <w:pPr>
              <w:spacing w:after="0"/>
              <w:rPr>
                <w:sz w:val="24"/>
                <w:szCs w:val="24"/>
                <w:color w:val="auto"/>
              </w:rPr>
            </w:pPr>
          </w:p>
        </w:tc>
      </w:tr>
      <w:tr>
        <w:trPr>
          <w:trHeight w:val="293"/>
        </w:trPr>
        <w:tc>
          <w:tcPr>
            <w:tcW w:w="7620" w:type="dxa"/>
            <w:vAlign w:val="bottom"/>
            <w:gridSpan w:val="2"/>
            <w:shd w:val="clear" w:color="auto" w:fill="E3E4E5"/>
          </w:tcPr>
          <w:p>
            <w:pPr>
              <w:ind w:left="60"/>
              <w:spacing w:after="0"/>
              <w:rPr>
                <w:sz w:val="20"/>
                <w:szCs w:val="20"/>
                <w:color w:val="auto"/>
              </w:rPr>
            </w:pPr>
            <w:r>
              <w:rPr>
                <w:rFonts w:ascii="Times New Roman" w:cs="Times New Roman" w:eastAsia="Times New Roman" w:hAnsi="Times New Roman"/>
                <w:sz w:val="20"/>
                <w:szCs w:val="20"/>
                <w:color w:val="454546"/>
              </w:rPr>
              <w:t>2030</w:t>
            </w: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6,977</w:t>
            </w:r>
          </w:p>
        </w:tc>
        <w:tc>
          <w:tcPr>
            <w:tcW w:w="80" w:type="dxa"/>
            <w:vAlign w:val="bottom"/>
          </w:tcPr>
          <w:p>
            <w:pPr>
              <w:spacing w:after="0"/>
              <w:rPr>
                <w:sz w:val="24"/>
                <w:szCs w:val="24"/>
                <w:color w:val="auto"/>
              </w:rPr>
            </w:pPr>
          </w:p>
        </w:tc>
      </w:tr>
      <w:tr>
        <w:trPr>
          <w:trHeight w:val="284"/>
        </w:trPr>
        <w:tc>
          <w:tcPr>
            <w:tcW w:w="60" w:type="dxa"/>
            <w:vAlign w:val="bottom"/>
            <w:tcBorders>
              <w:bottom w:val="single" w:sz="8" w:color="E3E4E5"/>
            </w:tcBorders>
          </w:tcPr>
          <w:p>
            <w:pPr>
              <w:spacing w:after="0"/>
              <w:rPr>
                <w:sz w:val="24"/>
                <w:szCs w:val="24"/>
                <w:color w:val="auto"/>
              </w:rPr>
            </w:pPr>
          </w:p>
        </w:tc>
        <w:tc>
          <w:tcPr>
            <w:tcW w:w="7580" w:type="dxa"/>
            <w:vAlign w:val="bottom"/>
            <w:tcBorders>
              <w:bottom w:val="single" w:sz="8" w:color="E3E4E5"/>
            </w:tcBorders>
            <w:gridSpan w:val="2"/>
          </w:tcPr>
          <w:p>
            <w:pPr>
              <w:spacing w:after="0"/>
              <w:rPr>
                <w:sz w:val="20"/>
                <w:szCs w:val="20"/>
                <w:color w:val="auto"/>
              </w:rPr>
            </w:pPr>
            <w:r>
              <w:rPr>
                <w:rFonts w:ascii="Times New Roman" w:cs="Times New Roman" w:eastAsia="Times New Roman" w:hAnsi="Times New Roman"/>
                <w:sz w:val="20"/>
                <w:szCs w:val="20"/>
                <w:color w:val="454546"/>
              </w:rPr>
              <w:t>Thereafter</w:t>
            </w:r>
          </w:p>
        </w:tc>
        <w:tc>
          <w:tcPr>
            <w:tcW w:w="300" w:type="dxa"/>
            <w:vAlign w:val="bottom"/>
            <w:tcBorders>
              <w:bottom w:val="single" w:sz="8" w:color="E3E4E5"/>
            </w:tcBorders>
          </w:tcPr>
          <w:p>
            <w:pPr>
              <w:spacing w:after="0"/>
              <w:rPr>
                <w:sz w:val="24"/>
                <w:szCs w:val="24"/>
                <w:color w:val="auto"/>
              </w:rPr>
            </w:pPr>
          </w:p>
        </w:tc>
        <w:tc>
          <w:tcPr>
            <w:tcW w:w="98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36,088</w:t>
            </w:r>
          </w:p>
        </w:tc>
        <w:tc>
          <w:tcPr>
            <w:tcW w:w="80" w:type="dxa"/>
            <w:vAlign w:val="bottom"/>
          </w:tcPr>
          <w:p>
            <w:pPr>
              <w:spacing w:after="0"/>
              <w:rPr>
                <w:sz w:val="24"/>
                <w:szCs w:val="24"/>
                <w:color w:val="auto"/>
              </w:rPr>
            </w:pPr>
          </w:p>
        </w:tc>
      </w:tr>
      <w:tr>
        <w:trPr>
          <w:trHeight w:val="265"/>
        </w:trPr>
        <w:tc>
          <w:tcPr>
            <w:tcW w:w="60" w:type="dxa"/>
            <w:vAlign w:val="bottom"/>
            <w:shd w:val="clear" w:color="auto" w:fill="E3E4E5"/>
          </w:tcPr>
          <w:p>
            <w:pPr>
              <w:spacing w:after="0"/>
              <w:rPr>
                <w:sz w:val="23"/>
                <w:szCs w:val="23"/>
                <w:color w:val="auto"/>
              </w:rPr>
            </w:pPr>
          </w:p>
        </w:tc>
        <w:tc>
          <w:tcPr>
            <w:tcW w:w="7580" w:type="dxa"/>
            <w:vAlign w:val="bottom"/>
            <w:gridSpan w:val="2"/>
            <w:shd w:val="clear" w:color="auto" w:fill="E3E4E5"/>
          </w:tcPr>
          <w:p>
            <w:pPr>
              <w:ind w:left="360"/>
              <w:spacing w:after="0"/>
              <w:rPr>
                <w:sz w:val="20"/>
                <w:szCs w:val="20"/>
                <w:color w:val="auto"/>
              </w:rPr>
            </w:pPr>
            <w:r>
              <w:rPr>
                <w:rFonts w:ascii="Times New Roman" w:cs="Times New Roman" w:eastAsia="Times New Roman" w:hAnsi="Times New Roman"/>
                <w:sz w:val="20"/>
                <w:szCs w:val="20"/>
                <w:color w:val="454546"/>
              </w:rPr>
              <w:t>Total future minimum lease payments</w:t>
            </w:r>
          </w:p>
        </w:tc>
        <w:tc>
          <w:tcPr>
            <w:tcW w:w="30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60,811</w:t>
            </w:r>
          </w:p>
        </w:tc>
        <w:tc>
          <w:tcPr>
            <w:tcW w:w="80" w:type="dxa"/>
            <w:vAlign w:val="bottom"/>
          </w:tcPr>
          <w:p>
            <w:pPr>
              <w:spacing w:after="0"/>
              <w:rPr>
                <w:sz w:val="23"/>
                <w:szCs w:val="23"/>
                <w:color w:val="auto"/>
              </w:rPr>
            </w:pPr>
          </w:p>
        </w:tc>
      </w:tr>
      <w:tr>
        <w:trPr>
          <w:trHeight w:val="278"/>
        </w:trPr>
        <w:tc>
          <w:tcPr>
            <w:tcW w:w="6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Less: estimated tenant improvement allowance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(364)</w:t>
            </w:r>
          </w:p>
        </w:tc>
        <w:tc>
          <w:tcPr>
            <w:tcW w:w="80" w:type="dxa"/>
            <w:vAlign w:val="bottom"/>
          </w:tcPr>
          <w:p>
            <w:pPr>
              <w:spacing w:after="0"/>
              <w:rPr>
                <w:sz w:val="24"/>
                <w:szCs w:val="24"/>
                <w:color w:val="auto"/>
              </w:rPr>
            </w:pPr>
          </w:p>
        </w:tc>
      </w:tr>
      <w:tr>
        <w:trPr>
          <w:trHeight w:val="293"/>
        </w:trPr>
        <w:tc>
          <w:tcPr>
            <w:tcW w:w="60" w:type="dxa"/>
            <w:vAlign w:val="bottom"/>
            <w:shd w:val="clear" w:color="auto" w:fill="E3E4E5"/>
          </w:tcPr>
          <w:p>
            <w:pPr>
              <w:spacing w:after="0"/>
              <w:rPr>
                <w:sz w:val="24"/>
                <w:szCs w:val="24"/>
                <w:color w:val="auto"/>
              </w:rPr>
            </w:pPr>
          </w:p>
        </w:tc>
        <w:tc>
          <w:tcPr>
            <w:tcW w:w="758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454546"/>
              </w:rPr>
              <w:t>Less: imputed interest</w:t>
            </w: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6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(19,177)</w:t>
            </w:r>
          </w:p>
        </w:tc>
        <w:tc>
          <w:tcPr>
            <w:tcW w:w="80" w:type="dxa"/>
            <w:vAlign w:val="bottom"/>
          </w:tcPr>
          <w:p>
            <w:pPr>
              <w:spacing w:after="0"/>
              <w:rPr>
                <w:sz w:val="24"/>
                <w:szCs w:val="24"/>
                <w:color w:val="auto"/>
              </w:rPr>
            </w:pPr>
          </w:p>
        </w:tc>
      </w:tr>
      <w:tr>
        <w:trPr>
          <w:trHeight w:val="265"/>
        </w:trPr>
        <w:tc>
          <w:tcPr>
            <w:tcW w:w="60" w:type="dxa"/>
            <w:vAlign w:val="bottom"/>
          </w:tcPr>
          <w:p>
            <w:pPr>
              <w:spacing w:after="0"/>
              <w:rPr>
                <w:sz w:val="23"/>
                <w:szCs w:val="23"/>
                <w:color w:val="auto"/>
              </w:rPr>
            </w:pPr>
          </w:p>
        </w:tc>
        <w:tc>
          <w:tcPr>
            <w:tcW w:w="75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454546"/>
              </w:rPr>
              <w:t>Total operating lease liabilities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38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41,270</w:t>
            </w:r>
          </w:p>
        </w:tc>
        <w:tc>
          <w:tcPr>
            <w:tcW w:w="80" w:type="dxa"/>
            <w:vAlign w:val="bottom"/>
          </w:tcPr>
          <w:p>
            <w:pPr>
              <w:spacing w:after="0"/>
              <w:rPr>
                <w:sz w:val="23"/>
                <w:szCs w:val="23"/>
                <w:color w:val="auto"/>
              </w:rPr>
            </w:pPr>
          </w:p>
        </w:tc>
      </w:tr>
      <w:tr>
        <w:trPr>
          <w:trHeight w:val="20"/>
        </w:trPr>
        <w:tc>
          <w:tcPr>
            <w:tcW w:w="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7"/>
        </w:trPr>
        <w:tc>
          <w:tcPr>
            <w:tcW w:w="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2300" w:type="dxa"/>
            <w:vAlign w:val="bottom"/>
            <w:tcBorders>
              <w:bottom w:val="single" w:sz="8" w:color="231F20"/>
            </w:tcBorders>
            <w:gridSpan w:val="5"/>
          </w:tcPr>
          <w:p>
            <w:pPr>
              <w:jc w:val="right"/>
              <w:ind w:right="282"/>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c>
          <w:tcPr>
            <w:tcW w:w="80" w:type="dxa"/>
            <w:vAlign w:val="bottom"/>
            <w:tcBorders>
              <w:bottom w:val="single" w:sz="8" w:color="231F20"/>
            </w:tcBorders>
          </w:tcPr>
          <w:p>
            <w:pPr>
              <w:spacing w:after="0"/>
              <w:rPr>
                <w:sz w:val="24"/>
                <w:szCs w:val="24"/>
                <w:color w:val="auto"/>
              </w:rPr>
            </w:pPr>
          </w:p>
        </w:tc>
      </w:tr>
      <w:tr>
        <w:trPr>
          <w:trHeight w:val="266"/>
        </w:trPr>
        <w:tc>
          <w:tcPr>
            <w:tcW w:w="60" w:type="dxa"/>
            <w:vAlign w:val="bottom"/>
          </w:tcPr>
          <w:p>
            <w:pPr>
              <w:spacing w:after="0"/>
              <w:rPr>
                <w:sz w:val="23"/>
                <w:szCs w:val="23"/>
                <w:color w:val="auto"/>
              </w:rPr>
            </w:pPr>
          </w:p>
        </w:tc>
        <w:tc>
          <w:tcPr>
            <w:tcW w:w="758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454546"/>
              </w:rPr>
              <w:t>Included in the consolidated balance sheets (in thousands):</w:t>
            </w: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0" w:type="dxa"/>
            <w:vAlign w:val="bottom"/>
            <w:tcBorders>
              <w:bottom w:val="single" w:sz="8" w:color="231F20"/>
            </w:tcBorders>
          </w:tcPr>
          <w:p>
            <w:pPr>
              <w:spacing w:after="0"/>
              <w:rPr>
                <w:sz w:val="23"/>
                <w:szCs w:val="23"/>
                <w:color w:val="auto"/>
              </w:rPr>
            </w:pPr>
          </w:p>
        </w:tc>
        <w:tc>
          <w:tcPr>
            <w:tcW w:w="6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80" w:type="dxa"/>
            <w:vAlign w:val="bottom"/>
            <w:tcBorders>
              <w:bottom w:val="single" w:sz="8" w:color="231F20"/>
            </w:tcBorders>
          </w:tcPr>
          <w:p>
            <w:pPr>
              <w:spacing w:after="0"/>
              <w:rPr>
                <w:sz w:val="23"/>
                <w:szCs w:val="23"/>
                <w:color w:val="auto"/>
              </w:rPr>
            </w:pPr>
          </w:p>
        </w:tc>
      </w:tr>
      <w:tr>
        <w:trPr>
          <w:trHeight w:val="266"/>
        </w:trPr>
        <w:tc>
          <w:tcPr>
            <w:tcW w:w="60" w:type="dxa"/>
            <w:vAlign w:val="bottom"/>
          </w:tcPr>
          <w:p>
            <w:pPr>
              <w:spacing w:after="0"/>
              <w:rPr>
                <w:sz w:val="23"/>
                <w:szCs w:val="23"/>
                <w:color w:val="auto"/>
              </w:rPr>
            </w:pPr>
          </w:p>
        </w:tc>
        <w:tc>
          <w:tcPr>
            <w:tcW w:w="75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454546"/>
              </w:rPr>
              <w:t>Current operating lease liabilities</w:t>
            </w:r>
          </w:p>
        </w:tc>
        <w:tc>
          <w:tcPr>
            <w:tcW w:w="20" w:type="dxa"/>
            <w:vAlign w:val="bottom"/>
            <w:shd w:val="clear" w:color="auto" w:fill="E3E4E5"/>
          </w:tcPr>
          <w:p>
            <w:pPr>
              <w:spacing w:after="0"/>
              <w:rPr>
                <w:sz w:val="23"/>
                <w:szCs w:val="23"/>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923</w:t>
            </w:r>
          </w:p>
        </w:tc>
        <w:tc>
          <w:tcPr>
            <w:tcW w:w="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9,067</w:t>
            </w:r>
          </w:p>
        </w:tc>
        <w:tc>
          <w:tcPr>
            <w:tcW w:w="80" w:type="dxa"/>
            <w:vAlign w:val="bottom"/>
            <w:shd w:val="clear" w:color="auto" w:fill="E3E4E5"/>
          </w:tcPr>
          <w:p>
            <w:pPr>
              <w:spacing w:after="0"/>
              <w:rPr>
                <w:sz w:val="23"/>
                <w:szCs w:val="23"/>
                <w:color w:val="auto"/>
              </w:rPr>
            </w:pPr>
          </w:p>
        </w:tc>
      </w:tr>
      <w:tr>
        <w:trPr>
          <w:trHeight w:val="285"/>
        </w:trPr>
        <w:tc>
          <w:tcPr>
            <w:tcW w:w="60" w:type="dxa"/>
            <w:vAlign w:val="bottom"/>
          </w:tcPr>
          <w:p>
            <w:pPr>
              <w:spacing w:after="0"/>
              <w:rPr>
                <w:sz w:val="24"/>
                <w:szCs w:val="24"/>
                <w:color w:val="auto"/>
              </w:rPr>
            </w:pPr>
          </w:p>
        </w:tc>
        <w:tc>
          <w:tcPr>
            <w:tcW w:w="7580" w:type="dxa"/>
            <w:vAlign w:val="bottom"/>
            <w:tcBorders>
              <w:bottom w:val="single" w:sz="8" w:color="E3E4E5"/>
            </w:tcBorders>
            <w:gridSpan w:val="2"/>
          </w:tcPr>
          <w:p>
            <w:pPr>
              <w:ind w:left="40"/>
              <w:spacing w:after="0"/>
              <w:rPr>
                <w:sz w:val="20"/>
                <w:szCs w:val="20"/>
                <w:color w:val="auto"/>
              </w:rPr>
            </w:pPr>
            <w:r>
              <w:rPr>
                <w:rFonts w:ascii="Times New Roman" w:cs="Times New Roman" w:eastAsia="Times New Roman" w:hAnsi="Times New Roman"/>
                <w:sz w:val="20"/>
                <w:szCs w:val="20"/>
                <w:color w:val="454546"/>
              </w:rPr>
              <w:t>Operating lease liabilities, net of current portion</w:t>
            </w: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40,347</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454546"/>
              </w:rPr>
              <w:t>28,064</w:t>
            </w:r>
          </w:p>
        </w:tc>
        <w:tc>
          <w:tcPr>
            <w:tcW w:w="80" w:type="dxa"/>
            <w:vAlign w:val="bottom"/>
            <w:tcBorders>
              <w:bottom w:val="single" w:sz="8" w:color="231F20"/>
            </w:tcBorders>
          </w:tcPr>
          <w:p>
            <w:pPr>
              <w:spacing w:after="0"/>
              <w:rPr>
                <w:sz w:val="24"/>
                <w:szCs w:val="24"/>
                <w:color w:val="auto"/>
              </w:rPr>
            </w:pPr>
          </w:p>
        </w:tc>
      </w:tr>
      <w:tr>
        <w:trPr>
          <w:trHeight w:val="266"/>
        </w:trPr>
        <w:tc>
          <w:tcPr>
            <w:tcW w:w="60" w:type="dxa"/>
            <w:vAlign w:val="bottom"/>
          </w:tcPr>
          <w:p>
            <w:pPr>
              <w:spacing w:after="0"/>
              <w:rPr>
                <w:sz w:val="23"/>
                <w:szCs w:val="23"/>
                <w:color w:val="auto"/>
              </w:rPr>
            </w:pPr>
          </w:p>
        </w:tc>
        <w:tc>
          <w:tcPr>
            <w:tcW w:w="756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54546"/>
              </w:rPr>
              <w:t>Total operating lease liabilities</w:t>
            </w:r>
          </w:p>
        </w:tc>
        <w:tc>
          <w:tcPr>
            <w:tcW w:w="20" w:type="dxa"/>
            <w:vAlign w:val="bottom"/>
            <w:tcBorders>
              <w:bottom w:val="single" w:sz="8" w:color="231F20"/>
            </w:tcBorders>
            <w:shd w:val="clear" w:color="auto" w:fill="E3E4E5"/>
          </w:tcPr>
          <w:p>
            <w:pPr>
              <w:spacing w:after="0"/>
              <w:rPr>
                <w:sz w:val="23"/>
                <w:szCs w:val="23"/>
                <w:color w:val="auto"/>
              </w:rPr>
            </w:pPr>
          </w:p>
        </w:tc>
        <w:tc>
          <w:tcPr>
            <w:tcW w:w="30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41,270</w:t>
            </w:r>
          </w:p>
        </w:tc>
        <w:tc>
          <w:tcPr>
            <w:tcW w:w="20" w:type="dxa"/>
            <w:vAlign w:val="bottom"/>
            <w:tcBorders>
              <w:bottom w:val="single" w:sz="8" w:color="231F20"/>
            </w:tcBorders>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20" w:type="dxa"/>
            <w:vAlign w:val="bottom"/>
            <w:tcBorders>
              <w:bottom w:val="single" w:sz="8" w:color="231F20"/>
            </w:tcBorders>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37,131</w:t>
            </w:r>
          </w:p>
        </w:tc>
        <w:tc>
          <w:tcPr>
            <w:tcW w:w="80" w:type="dxa"/>
            <w:vAlign w:val="bottom"/>
            <w:tcBorders>
              <w:bottom w:val="single" w:sz="8" w:color="231F20"/>
            </w:tcBorders>
            <w:shd w:val="clear" w:color="auto" w:fill="E3E4E5"/>
          </w:tcPr>
          <w:p>
            <w:pPr>
              <w:spacing w:after="0"/>
              <w:rPr>
                <w:sz w:val="23"/>
                <w:szCs w:val="23"/>
                <w:color w:val="auto"/>
              </w:rPr>
            </w:pPr>
          </w:p>
        </w:tc>
      </w:tr>
      <w:tr>
        <w:trPr>
          <w:trHeight w:val="20"/>
        </w:trPr>
        <w:tc>
          <w:tcPr>
            <w:tcW w:w="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Impairments and sublease agreement</w:t>
      </w:r>
    </w:p>
    <w:p>
      <w:pPr>
        <w:spacing w:after="0" w:line="130" w:lineRule="exact"/>
        <w:rPr>
          <w:sz w:val="20"/>
          <w:szCs w:val="20"/>
          <w:color w:val="auto"/>
        </w:rPr>
      </w:pPr>
    </w:p>
    <w:p>
      <w:pPr>
        <w:ind w:left="60" w:right="40"/>
        <w:spacing w:after="0" w:line="262" w:lineRule="auto"/>
        <w:rPr>
          <w:sz w:val="20"/>
          <w:szCs w:val="20"/>
          <w:color w:val="auto"/>
        </w:rPr>
      </w:pPr>
      <w:r>
        <w:rPr>
          <w:rFonts w:ascii="Times New Roman" w:cs="Times New Roman" w:eastAsia="Times New Roman" w:hAnsi="Times New Roman"/>
          <w:sz w:val="20"/>
          <w:szCs w:val="20"/>
          <w:color w:val="454546"/>
        </w:rPr>
        <w:t>In connection with the New Premises Delivery and relocating operations from premises under the Office Lease to premises under the New Lease, the Company recognized an impairment charge during the year ended December 31, 2025 of $5.9 million in the consolidated statements of operations and comprehensive loss for the abandoned leasehold improvements related to the Office Lease.</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In connection with a sublease for a portion of the Office Lease entered into in May 2024, which qualified as a triggering event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for an asset impairment assessment, the Company recognized a non-cash impairment charge during the year ended</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December 31, 2024 of $2.4 million in the consolidated statements of operations and comprehensive loss of which $1.6 million</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was allocated to its right-of-use asset and $0.8 million was allocated to leasehold improvements.</w:t>
      </w:r>
    </w:p>
    <w:p>
      <w:pPr>
        <w:spacing w:after="0" w:line="105" w:lineRule="exact"/>
        <w:rPr>
          <w:sz w:val="20"/>
          <w:szCs w:val="20"/>
          <w:color w:val="auto"/>
        </w:rPr>
      </w:pPr>
    </w:p>
    <w:p>
      <w:pPr>
        <w:ind w:left="60" w:right="140"/>
        <w:spacing w:after="0" w:line="269" w:lineRule="auto"/>
        <w:rPr>
          <w:sz w:val="20"/>
          <w:szCs w:val="20"/>
          <w:color w:val="auto"/>
        </w:rPr>
      </w:pPr>
      <w:r>
        <w:rPr>
          <w:rFonts w:ascii="Times New Roman" w:cs="Times New Roman" w:eastAsia="Times New Roman" w:hAnsi="Times New Roman"/>
          <w:sz w:val="20"/>
          <w:szCs w:val="20"/>
          <w:color w:val="454546"/>
        </w:rPr>
        <w:t>Through December 2025, the Company had subleased portions of premises under the Office Lease. For the years ended December 31, 2025 and 2024, the Company recorded other income of $3.4 million and $4.2 million, respectively, related to its subleases. As of December 31, 2025, the Company has no subleases.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54546"/>
        </w:rPr>
        <w:t>11. Commitments and Contingencies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Leases</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454546"/>
        </w:rPr>
        <w:t>The Company’s commitments under its leases are described in Note 10.</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License agreements</w:t>
      </w:r>
    </w:p>
    <w:p>
      <w:pPr>
        <w:spacing w:after="0" w:line="130" w:lineRule="exact"/>
        <w:rPr>
          <w:sz w:val="20"/>
          <w:szCs w:val="20"/>
          <w:color w:val="auto"/>
        </w:rPr>
      </w:pPr>
    </w:p>
    <w:p>
      <w:pPr>
        <w:ind w:left="60" w:right="20"/>
        <w:spacing w:after="0" w:line="257" w:lineRule="auto"/>
        <w:rPr>
          <w:sz w:val="20"/>
          <w:szCs w:val="20"/>
          <w:color w:val="auto"/>
        </w:rPr>
      </w:pPr>
      <w:r>
        <w:rPr>
          <w:rFonts w:ascii="Times New Roman" w:cs="Times New Roman" w:eastAsia="Times New Roman" w:hAnsi="Times New Roman"/>
          <w:sz w:val="20"/>
          <w:szCs w:val="20"/>
          <w:color w:val="454546"/>
        </w:rPr>
        <w:t>The Company has entered into various exclusive and non-exclusive license agreements for certain technologies. Under the terms of these license agreements, the Company could be required to reimburse the licensors for patent expenses and remit amounts in the low single-digit as sales-based royalties upon the occurrence of specific events as outlined in the corresponding license agreements. The Company is also required to make annual license maintenance fees of less than $0.1 million and pay up to $1.1 million in regulatory milestones on each licensed product upon the occurrence of specific events as outlined in one of the license agreements. None of our current product candidates utilizes technologies covered by these licenses.</w:t>
      </w:r>
    </w:p>
    <w:p>
      <w:pPr>
        <w:sectPr>
          <w:pgSz w:w="11880" w:h="15480" w:orient="portrait"/>
          <w:cols w:equalWidth="0" w:num="1">
            <w:col w:w="10320"/>
          </w:cols>
          <w:pgMar w:left="760" w:top="504" w:right="800" w:bottom="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96</w:t>
      </w:r>
    </w:p>
    <w:p>
      <w:pPr>
        <w:sectPr>
          <w:pgSz w:w="11880" w:h="15480" w:orient="portrait"/>
          <w:cols w:equalWidth="0" w:num="1">
            <w:col w:w="10320"/>
          </w:cols>
          <w:pgMar w:left="760" w:top="504" w:right="8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i w:val="1"/>
          <w:iCs w:val="1"/>
          <w:color w:val="454546"/>
        </w:rPr>
        <w:t>Indemnification agreements</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454546"/>
        </w:rPr>
        <w:t>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Legal Proceedings</w:t>
      </w:r>
    </w:p>
    <w:p>
      <w:pPr>
        <w:spacing w:after="0" w:line="13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color w:val="454546"/>
        </w:rPr>
        <w:t>From time to time, the Company may become involved in litigation or other legal proceedings. The Company is not currently a party to any material litigation or legal proceedings.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12. Defined Contribution Plan</w:t>
      </w:r>
    </w:p>
    <w:p>
      <w:pPr>
        <w:spacing w:after="0" w:line="13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454546"/>
        </w:rPr>
        <w:t>The Company has a 401(k) defined contribution plan (the “401(k) Plan”) for its employees. Eligible employees may make pretax contributions to the 401(k) Plan up to statutory limits. For the years ended December 31, 2025 and 2024, the Company recorded $0.3 million of expense related to 401(k) discretionary match.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13. Related Parties</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454546"/>
        </w:rPr>
        <w:t>In October 2015, the Company entered into a five-year consulting agreement with a scientific founder of the Company who is also a shareholder. In October 2020, this agreement was amended and extended to January 1, 2022, subject to automatic one-year renewal terms thereafter until terminated if notice is provided more than 30 days before the current end of term date. On January 1, 2026, the agreement was automatically renewed and extended to January 1, 2027. For the years ended December 31, 2025 and 2024, the Company paid the scientific founder $0.2 million. As of December 31, 2025 and 2024, the Company had no accounts payable due to the scientific founder.</w:t>
      </w:r>
    </w:p>
    <w:p>
      <w:pPr>
        <w:spacing w:after="0" w:line="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454546"/>
        </w:rPr>
        <w:t>On December 10, 2021, we entered into the Lilly Collaboration Agreement with Lilly. Concurrent with the Lilly Collaboration Agreement the Company also entered into the Lilly SPA where the Company issued and sold Lilly 4,000,000 shares of our common stock at a price of $20.00 per share, making them a 5% or greater shareholder in the Company for the years ended December 31, 2025 and 2024. We are obligated to make certain payments to Lilly pursuant to the Lilly Collaboration Agreement. For the years ended December 31, 2025 and 2024, the Company paid Lilly $8.2 million and $8.4 million, respectively. As of December 31, 2025 and 2024, the Company had a payable of $1.0 million and $0.6 million, respectively, due to Lilly.</w:t>
      </w:r>
    </w:p>
    <w:p>
      <w:pPr>
        <w:sectPr>
          <w:pgSz w:w="11880" w:h="15480" w:orient="portrait"/>
          <w:cols w:equalWidth="0" w:num="1">
            <w:col w:w="10220"/>
          </w:cols>
          <w:pgMar w:left="820" w:top="50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97</w:t>
      </w:r>
    </w:p>
    <w:p>
      <w:pPr>
        <w:sectPr>
          <w:pgSz w:w="11880" w:h="15480" w:orient="portrait"/>
          <w:cols w:equalWidth="0" w:num="1">
            <w:col w:w="10220"/>
          </w:cols>
          <w:pgMar w:left="820" w:top="504" w:right="840" w:bottom="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20"/>
          <w:szCs w:val="20"/>
          <w:b w:val="1"/>
          <w:bCs w:val="1"/>
          <w:color w:val="454546"/>
        </w:rPr>
        <w:t>14. Segment Reporting</w:t>
      </w:r>
    </w:p>
    <w:p>
      <w:pPr>
        <w:spacing w:after="0" w:line="134" w:lineRule="exact"/>
        <w:rPr>
          <w:sz w:val="20"/>
          <w:szCs w:val="20"/>
          <w:color w:val="auto"/>
        </w:rPr>
      </w:pPr>
    </w:p>
    <w:p>
      <w:pPr>
        <w:ind w:left="60" w:right="160"/>
        <w:spacing w:after="0" w:line="255" w:lineRule="auto"/>
        <w:rPr>
          <w:sz w:val="20"/>
          <w:szCs w:val="20"/>
          <w:color w:val="auto"/>
        </w:rPr>
      </w:pPr>
      <w:r>
        <w:rPr>
          <w:rFonts w:ascii="Times New Roman" w:cs="Times New Roman" w:eastAsia="Times New Roman" w:hAnsi="Times New Roman"/>
          <w:sz w:val="20"/>
          <w:szCs w:val="20"/>
          <w:color w:val="454546"/>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manages its operations as a single segment (the “Segment”) for the purposes of assessing performance and making operating decisions. The CODM of the Segment is the Company’s chief executive officer. The Segment is focused on pioneering the discovery and development of a new class of medicines targeting genetically determined dependencies within the chromatin regulatory system. The Segment’s revenue is derived entirely from the recognition of deferred revenue related to our collaboration agreement with Lilly and funds received under the Lilly SPA (see Note 8). The accounting policies for the Segment are the same as those described in Note 2, Summary of Significant Accounting Policies.</w:t>
      </w:r>
    </w:p>
    <w:p>
      <w:pPr>
        <w:spacing w:after="0" w:line="81" w:lineRule="exact"/>
        <w:rPr>
          <w:sz w:val="20"/>
          <w:szCs w:val="20"/>
          <w:color w:val="auto"/>
        </w:rPr>
      </w:pPr>
    </w:p>
    <w:p>
      <w:pPr>
        <w:jc w:val="both"/>
        <w:ind w:left="60"/>
        <w:spacing w:after="0" w:line="269" w:lineRule="auto"/>
        <w:rPr>
          <w:sz w:val="20"/>
          <w:szCs w:val="20"/>
          <w:color w:val="auto"/>
        </w:rPr>
      </w:pPr>
      <w:r>
        <w:rPr>
          <w:rFonts w:ascii="Times New Roman" w:cs="Times New Roman" w:eastAsia="Times New Roman" w:hAnsi="Times New Roman"/>
          <w:sz w:val="20"/>
          <w:szCs w:val="20"/>
          <w:color w:val="454546"/>
        </w:rPr>
        <w:t>The CODM assesses the performance of the Segment and decides how to allocate resources based on net loss that is reported on the consolidated statements of operations and comprehensive loss. Further, the following represents information about segment revenue, segment loss and significant segment expenses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2380" w:type="dxa"/>
            <w:vAlign w:val="bottom"/>
            <w:tcBorders>
              <w:bottom w:val="single" w:sz="8" w:color="231F20"/>
            </w:tcBorders>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454546"/>
              </w:rPr>
              <w:t>Year Ended December 31,</w:t>
            </w:r>
          </w:p>
        </w:tc>
      </w:tr>
      <w:tr>
        <w:trPr>
          <w:trHeight w:val="222"/>
        </w:trPr>
        <w:tc>
          <w:tcPr>
            <w:tcW w:w="60" w:type="dxa"/>
            <w:vAlign w:val="bottom"/>
            <w:tcBorders>
              <w:bottom w:val="single" w:sz="8" w:color="E3E4E5"/>
            </w:tcBorders>
          </w:tcPr>
          <w:p>
            <w:pPr>
              <w:spacing w:after="0"/>
              <w:rPr>
                <w:sz w:val="19"/>
                <w:szCs w:val="19"/>
                <w:color w:val="auto"/>
              </w:rPr>
            </w:pPr>
          </w:p>
        </w:tc>
        <w:tc>
          <w:tcPr>
            <w:tcW w:w="7460" w:type="dxa"/>
            <w:vAlign w:val="bottom"/>
            <w:tcBorders>
              <w:bottom w:val="single" w:sz="8" w:color="E3E4E5"/>
            </w:tcBorders>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454546"/>
              </w:rPr>
              <w:t>2025</w:t>
            </w:r>
          </w:p>
        </w:tc>
        <w:tc>
          <w:tcPr>
            <w:tcW w:w="20" w:type="dxa"/>
            <w:vAlign w:val="bottom"/>
            <w:tcBorders>
              <w:bottom w:val="single" w:sz="8" w:color="231F20"/>
            </w:tcBorders>
          </w:tcPr>
          <w:p>
            <w:pPr>
              <w:spacing w:after="0"/>
              <w:rPr>
                <w:sz w:val="19"/>
                <w:szCs w:val="19"/>
                <w:color w:val="auto"/>
              </w:rPr>
            </w:pPr>
          </w:p>
        </w:tc>
        <w:tc>
          <w:tcPr>
            <w:tcW w:w="80" w:type="dxa"/>
            <w:vAlign w:val="bottom"/>
            <w:tcBorders>
              <w:bottom w:val="single" w:sz="8" w:color="E3E4E5"/>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454546"/>
              </w:rPr>
              <w:t>2024</w:t>
            </w:r>
          </w:p>
        </w:tc>
        <w:tc>
          <w:tcPr>
            <w:tcW w:w="20" w:type="dxa"/>
            <w:vAlign w:val="bottom"/>
            <w:tcBorders>
              <w:bottom w:val="single" w:sz="8" w:color="231F20"/>
            </w:tcBorders>
          </w:tcPr>
          <w:p>
            <w:pPr>
              <w:spacing w:after="0"/>
              <w:rPr>
                <w:sz w:val="19"/>
                <w:szCs w:val="19"/>
                <w:color w:val="auto"/>
              </w:rPr>
            </w:pPr>
          </w:p>
        </w:tc>
      </w:tr>
      <w:tr>
        <w:trPr>
          <w:trHeight w:val="264"/>
        </w:trPr>
        <w:tc>
          <w:tcPr>
            <w:tcW w:w="60" w:type="dxa"/>
            <w:vAlign w:val="bottom"/>
            <w:shd w:val="clear" w:color="auto" w:fill="E3E4E5"/>
          </w:tcPr>
          <w:p>
            <w:pPr>
              <w:spacing w:after="0"/>
              <w:rPr>
                <w:sz w:val="22"/>
                <w:szCs w:val="22"/>
                <w:color w:val="auto"/>
              </w:rPr>
            </w:pPr>
          </w:p>
        </w:tc>
        <w:tc>
          <w:tcPr>
            <w:tcW w:w="74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54546"/>
              </w:rPr>
              <w:t>Collaboration revenue</w:t>
            </w:r>
          </w:p>
        </w:tc>
        <w:tc>
          <w:tcPr>
            <w:tcW w:w="60" w:type="dxa"/>
            <w:vAlign w:val="bottom"/>
            <w:shd w:val="clear" w:color="auto" w:fill="E3E4E5"/>
          </w:tcPr>
          <w:p>
            <w:pPr>
              <w:spacing w:after="0"/>
              <w:rPr>
                <w:sz w:val="22"/>
                <w:szCs w:val="22"/>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30,909</w:t>
            </w:r>
          </w:p>
        </w:tc>
        <w:tc>
          <w:tcPr>
            <w:tcW w:w="2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54546"/>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22,602</w:t>
            </w:r>
          </w:p>
        </w:tc>
        <w:tc>
          <w:tcPr>
            <w:tcW w:w="20" w:type="dxa"/>
            <w:vAlign w:val="bottom"/>
            <w:shd w:val="clear" w:color="auto" w:fill="E3E4E5"/>
          </w:tcPr>
          <w:p>
            <w:pPr>
              <w:spacing w:after="0"/>
              <w:rPr>
                <w:sz w:val="22"/>
                <w:szCs w:val="22"/>
                <w:color w:val="auto"/>
              </w:rPr>
            </w:pPr>
          </w:p>
        </w:tc>
      </w:tr>
      <w:tr>
        <w:trPr>
          <w:trHeight w:val="277"/>
        </w:trPr>
        <w:tc>
          <w:tcPr>
            <w:tcW w:w="6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Less: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60" w:type="dxa"/>
            <w:vAlign w:val="bottom"/>
            <w:shd w:val="clear" w:color="auto" w:fill="E3E4E5"/>
          </w:tcPr>
          <w:p>
            <w:pPr>
              <w:spacing w:after="0"/>
              <w:rPr>
                <w:sz w:val="24"/>
                <w:szCs w:val="24"/>
                <w:color w:val="auto"/>
              </w:rPr>
            </w:pPr>
          </w:p>
        </w:tc>
        <w:tc>
          <w:tcPr>
            <w:tcW w:w="74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Research and development:</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r>
      <w:tr>
        <w:trPr>
          <w:trHeight w:val="276"/>
        </w:trPr>
        <w:tc>
          <w:tcPr>
            <w:tcW w:w="60" w:type="dxa"/>
            <w:vAlign w:val="bottom"/>
          </w:tcPr>
          <w:p>
            <w:pPr>
              <w:spacing w:after="0"/>
              <w:rPr>
                <w:sz w:val="24"/>
                <w:szCs w:val="24"/>
                <w:color w:val="auto"/>
              </w:rPr>
            </w:pPr>
          </w:p>
        </w:tc>
        <w:tc>
          <w:tcPr>
            <w:tcW w:w="75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454546"/>
              </w:rPr>
              <w:t>Personnel expenses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22,734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22,472</w:t>
            </w:r>
          </w:p>
        </w:tc>
        <w:tc>
          <w:tcPr>
            <w:tcW w:w="20" w:type="dxa"/>
            <w:vAlign w:val="bottom"/>
          </w:tcPr>
          <w:p>
            <w:pPr>
              <w:spacing w:after="0"/>
              <w:rPr>
                <w:sz w:val="24"/>
                <w:szCs w:val="24"/>
                <w:color w:val="auto"/>
              </w:rPr>
            </w:pPr>
          </w:p>
        </w:tc>
      </w:tr>
      <w:tr>
        <w:trPr>
          <w:trHeight w:val="293"/>
        </w:trPr>
        <w:tc>
          <w:tcPr>
            <w:tcW w:w="60" w:type="dxa"/>
            <w:vAlign w:val="bottom"/>
            <w:shd w:val="clear" w:color="auto" w:fill="E3E4E5"/>
          </w:tcPr>
          <w:p>
            <w:pPr>
              <w:spacing w:after="0"/>
              <w:rPr>
                <w:sz w:val="24"/>
                <w:szCs w:val="24"/>
                <w:color w:val="auto"/>
              </w:rPr>
            </w:pPr>
          </w:p>
        </w:tc>
        <w:tc>
          <w:tcPr>
            <w:tcW w:w="7460" w:type="dxa"/>
            <w:vAlign w:val="bottom"/>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FHD-286</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916</w:t>
            </w:r>
          </w:p>
        </w:tc>
        <w:tc>
          <w:tcPr>
            <w:tcW w:w="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11,136</w:t>
            </w:r>
          </w:p>
        </w:tc>
        <w:tc>
          <w:tcPr>
            <w:tcW w:w="20" w:type="dxa"/>
            <w:vAlign w:val="bottom"/>
            <w:shd w:val="clear" w:color="auto" w:fill="E3E4E5"/>
          </w:tcPr>
          <w:p>
            <w:pPr>
              <w:spacing w:after="0"/>
              <w:rPr>
                <w:sz w:val="24"/>
                <w:szCs w:val="24"/>
                <w:color w:val="auto"/>
              </w:rPr>
            </w:pPr>
          </w:p>
        </w:tc>
      </w:tr>
      <w:tr>
        <w:trPr>
          <w:trHeight w:val="278"/>
        </w:trPr>
        <w:tc>
          <w:tcPr>
            <w:tcW w:w="60" w:type="dxa"/>
            <w:vAlign w:val="bottom"/>
          </w:tcPr>
          <w:p>
            <w:pPr>
              <w:spacing w:after="0"/>
              <w:rPr>
                <w:sz w:val="24"/>
                <w:szCs w:val="24"/>
                <w:color w:val="auto"/>
              </w:rPr>
            </w:pPr>
          </w:p>
        </w:tc>
        <w:tc>
          <w:tcPr>
            <w:tcW w:w="75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454546"/>
              </w:rPr>
              <w:t>Lilly partnered programs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22,509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17,325</w:t>
            </w:r>
          </w:p>
        </w:tc>
        <w:tc>
          <w:tcPr>
            <w:tcW w:w="20" w:type="dxa"/>
            <w:vAlign w:val="bottom"/>
          </w:tcPr>
          <w:p>
            <w:pPr>
              <w:spacing w:after="0"/>
              <w:rPr>
                <w:sz w:val="24"/>
                <w:szCs w:val="24"/>
                <w:color w:val="auto"/>
              </w:rPr>
            </w:pPr>
          </w:p>
        </w:tc>
      </w:tr>
      <w:tr>
        <w:trPr>
          <w:trHeight w:val="293"/>
        </w:trPr>
        <w:tc>
          <w:tcPr>
            <w:tcW w:w="60" w:type="dxa"/>
            <w:vAlign w:val="bottom"/>
            <w:tcBorders>
              <w:bottom w:val="single" w:sz="8" w:color="E3E4E5"/>
            </w:tcBorders>
            <w:shd w:val="clear" w:color="auto" w:fill="E3E4E5"/>
          </w:tcPr>
          <w:p>
            <w:pPr>
              <w:spacing w:after="0"/>
              <w:rPr>
                <w:sz w:val="24"/>
                <w:szCs w:val="24"/>
                <w:color w:val="auto"/>
              </w:rPr>
            </w:pPr>
          </w:p>
        </w:tc>
        <w:tc>
          <w:tcPr>
            <w:tcW w:w="7460" w:type="dxa"/>
            <w:vAlign w:val="bottom"/>
            <w:tcBorders>
              <w:bottom w:val="single" w:sz="8" w:color="E3E4E5"/>
            </w:tcBorders>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Proprietary programs</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16,658</w:t>
            </w:r>
          </w:p>
        </w:tc>
        <w:tc>
          <w:tcPr>
            <w:tcW w:w="2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18,416</w:t>
            </w:r>
          </w:p>
        </w:tc>
        <w:tc>
          <w:tcPr>
            <w:tcW w:w="20" w:type="dxa"/>
            <w:vAlign w:val="bottom"/>
            <w:tcBorders>
              <w:bottom w:val="single" w:sz="8" w:color="E3E4E5"/>
            </w:tcBorders>
            <w:shd w:val="clear" w:color="auto" w:fill="E3E4E5"/>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752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454546"/>
              </w:rPr>
              <w:t>Research and development operating and administrative costs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5,866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6,252</w:t>
            </w:r>
          </w:p>
        </w:tc>
        <w:tc>
          <w:tcPr>
            <w:tcW w:w="20" w:type="dxa"/>
            <w:vAlign w:val="bottom"/>
          </w:tcPr>
          <w:p>
            <w:pPr>
              <w:spacing w:after="0"/>
              <w:rPr>
                <w:sz w:val="22"/>
                <w:szCs w:val="22"/>
                <w:color w:val="auto"/>
              </w:rPr>
            </w:pPr>
          </w:p>
        </w:tc>
      </w:tr>
      <w:tr>
        <w:trPr>
          <w:trHeight w:val="293"/>
        </w:trPr>
        <w:tc>
          <w:tcPr>
            <w:tcW w:w="60" w:type="dxa"/>
            <w:vAlign w:val="bottom"/>
            <w:tcBorders>
              <w:bottom w:val="single" w:sz="8" w:color="E3E4E5"/>
            </w:tcBorders>
            <w:shd w:val="clear" w:color="auto" w:fill="E3E4E5"/>
          </w:tcPr>
          <w:p>
            <w:pPr>
              <w:spacing w:after="0"/>
              <w:rPr>
                <w:sz w:val="24"/>
                <w:szCs w:val="24"/>
                <w:color w:val="auto"/>
              </w:rPr>
            </w:pPr>
          </w:p>
        </w:tc>
        <w:tc>
          <w:tcPr>
            <w:tcW w:w="74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General and administrative:</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96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r>
      <w:tr>
        <w:trPr>
          <w:trHeight w:val="261"/>
        </w:trPr>
        <w:tc>
          <w:tcPr>
            <w:tcW w:w="60" w:type="dxa"/>
            <w:vAlign w:val="bottom"/>
          </w:tcPr>
          <w:p>
            <w:pPr>
              <w:spacing w:after="0"/>
              <w:rPr>
                <w:sz w:val="22"/>
                <w:szCs w:val="22"/>
                <w:color w:val="auto"/>
              </w:rPr>
            </w:pPr>
          </w:p>
        </w:tc>
        <w:tc>
          <w:tcPr>
            <w:tcW w:w="7460" w:type="dxa"/>
            <w:vAlign w:val="bottom"/>
          </w:tcPr>
          <w:p>
            <w:pPr>
              <w:ind w:left="540"/>
              <w:spacing w:after="0"/>
              <w:rPr>
                <w:sz w:val="20"/>
                <w:szCs w:val="20"/>
                <w:color w:val="auto"/>
              </w:rPr>
            </w:pPr>
            <w:r>
              <w:rPr>
                <w:rFonts w:ascii="Times New Roman" w:cs="Times New Roman" w:eastAsia="Times New Roman" w:hAnsi="Times New Roman"/>
                <w:sz w:val="20"/>
                <w:szCs w:val="20"/>
                <w:color w:val="454546"/>
              </w:rPr>
              <w:t>Personnel expenses</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11,010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9,848</w:t>
            </w:r>
          </w:p>
        </w:tc>
        <w:tc>
          <w:tcPr>
            <w:tcW w:w="20" w:type="dxa"/>
            <w:vAlign w:val="bottom"/>
          </w:tcPr>
          <w:p>
            <w:pPr>
              <w:spacing w:after="0"/>
              <w:rPr>
                <w:sz w:val="22"/>
                <w:szCs w:val="22"/>
                <w:color w:val="auto"/>
              </w:rPr>
            </w:pPr>
          </w:p>
        </w:tc>
      </w:tr>
      <w:tr>
        <w:trPr>
          <w:trHeight w:val="290"/>
        </w:trPr>
        <w:tc>
          <w:tcPr>
            <w:tcW w:w="60" w:type="dxa"/>
            <w:vAlign w:val="bottom"/>
            <w:shd w:val="clear" w:color="auto" w:fill="E3E4E5"/>
          </w:tcPr>
          <w:p>
            <w:pPr>
              <w:spacing w:after="0"/>
              <w:rPr>
                <w:sz w:val="24"/>
                <w:szCs w:val="24"/>
                <w:color w:val="auto"/>
              </w:rPr>
            </w:pPr>
          </w:p>
        </w:tc>
        <w:tc>
          <w:tcPr>
            <w:tcW w:w="7460" w:type="dxa"/>
            <w:vAlign w:val="bottom"/>
            <w:shd w:val="clear" w:color="auto" w:fill="E3E4E5"/>
          </w:tcPr>
          <w:p>
            <w:pPr>
              <w:ind w:left="540"/>
              <w:spacing w:after="0"/>
              <w:rPr>
                <w:sz w:val="20"/>
                <w:szCs w:val="20"/>
                <w:color w:val="auto"/>
              </w:rPr>
            </w:pPr>
            <w:r>
              <w:rPr>
                <w:rFonts w:ascii="Times New Roman" w:cs="Times New Roman" w:eastAsia="Times New Roman" w:hAnsi="Times New Roman"/>
                <w:sz w:val="20"/>
                <w:szCs w:val="20"/>
                <w:color w:val="454546"/>
              </w:rPr>
              <w:t>External expenses</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7,929</w:t>
            </w:r>
          </w:p>
        </w:tc>
        <w:tc>
          <w:tcPr>
            <w:tcW w:w="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8,586</w:t>
            </w:r>
          </w:p>
        </w:tc>
        <w:tc>
          <w:tcPr>
            <w:tcW w:w="20" w:type="dxa"/>
            <w:vAlign w:val="bottom"/>
            <w:shd w:val="clear" w:color="auto" w:fill="E3E4E5"/>
          </w:tcPr>
          <w:p>
            <w:pPr>
              <w:spacing w:after="0"/>
              <w:rPr>
                <w:sz w:val="24"/>
                <w:szCs w:val="24"/>
                <w:color w:val="auto"/>
              </w:rPr>
            </w:pPr>
          </w:p>
        </w:tc>
      </w:tr>
      <w:tr>
        <w:trPr>
          <w:trHeight w:val="276"/>
        </w:trPr>
        <w:tc>
          <w:tcPr>
            <w:tcW w:w="60" w:type="dxa"/>
            <w:vAlign w:val="bottom"/>
          </w:tcPr>
          <w:p>
            <w:pPr>
              <w:spacing w:after="0"/>
              <w:rPr>
                <w:sz w:val="24"/>
                <w:szCs w:val="24"/>
                <w:color w:val="auto"/>
              </w:rPr>
            </w:pP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Facilities and IT related expenses, net of sublease income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8,223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454546"/>
              </w:rPr>
              <w:t>9,667</w:t>
            </w:r>
          </w:p>
        </w:tc>
        <w:tc>
          <w:tcPr>
            <w:tcW w:w="20" w:type="dxa"/>
            <w:vAlign w:val="bottom"/>
          </w:tcPr>
          <w:p>
            <w:pPr>
              <w:spacing w:after="0"/>
              <w:rPr>
                <w:sz w:val="24"/>
                <w:szCs w:val="24"/>
                <w:color w:val="auto"/>
              </w:rPr>
            </w:pPr>
          </w:p>
        </w:tc>
      </w:tr>
      <w:tr>
        <w:trPr>
          <w:trHeight w:val="293"/>
        </w:trPr>
        <w:tc>
          <w:tcPr>
            <w:tcW w:w="60" w:type="dxa"/>
            <w:vAlign w:val="bottom"/>
            <w:shd w:val="clear" w:color="auto" w:fill="E3E4E5"/>
          </w:tcPr>
          <w:p>
            <w:pPr>
              <w:spacing w:after="0"/>
              <w:rPr>
                <w:sz w:val="24"/>
                <w:szCs w:val="24"/>
                <w:color w:val="auto"/>
              </w:rPr>
            </w:pPr>
          </w:p>
        </w:tc>
        <w:tc>
          <w:tcPr>
            <w:tcW w:w="74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Other expenses, net</w:t>
            </w:r>
            <w:r>
              <w:rPr>
                <w:rFonts w:ascii="Times New Roman" w:cs="Times New Roman" w:eastAsia="Times New Roman" w:hAnsi="Times New Roman"/>
                <w:sz w:val="25"/>
                <w:szCs w:val="25"/>
                <w:color w:val="454546"/>
                <w:vertAlign w:val="superscript"/>
              </w:rPr>
              <w:t>(1)</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18,092</w:t>
            </w:r>
          </w:p>
        </w:tc>
        <w:tc>
          <w:tcPr>
            <w:tcW w:w="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17,420</w:t>
            </w:r>
          </w:p>
        </w:tc>
        <w:tc>
          <w:tcPr>
            <w:tcW w:w="20" w:type="dxa"/>
            <w:vAlign w:val="bottom"/>
            <w:shd w:val="clear" w:color="auto" w:fill="E3E4E5"/>
          </w:tcPr>
          <w:p>
            <w:pPr>
              <w:spacing w:after="0"/>
              <w:rPr>
                <w:sz w:val="24"/>
                <w:szCs w:val="24"/>
                <w:color w:val="auto"/>
              </w:rPr>
            </w:pPr>
          </w:p>
        </w:tc>
      </w:tr>
      <w:tr>
        <w:trPr>
          <w:trHeight w:val="277"/>
        </w:trPr>
        <w:tc>
          <w:tcPr>
            <w:tcW w:w="6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Plus: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4"/>
        </w:trPr>
        <w:tc>
          <w:tcPr>
            <w:tcW w:w="60" w:type="dxa"/>
            <w:vAlign w:val="bottom"/>
            <w:shd w:val="clear" w:color="auto" w:fill="E3E4E5"/>
          </w:tcPr>
          <w:p>
            <w:pPr>
              <w:spacing w:after="0"/>
              <w:rPr>
                <w:sz w:val="24"/>
                <w:szCs w:val="24"/>
                <w:color w:val="auto"/>
              </w:rPr>
            </w:pPr>
          </w:p>
        </w:tc>
        <w:tc>
          <w:tcPr>
            <w:tcW w:w="746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454546"/>
              </w:rPr>
              <w:t>Interest income</w:t>
            </w:r>
          </w:p>
        </w:tc>
        <w:tc>
          <w:tcPr>
            <w:tcW w:w="60" w:type="dxa"/>
            <w:vAlign w:val="bottom"/>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8,745</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54546"/>
              </w:rPr>
              <w:t>11,900</w:t>
            </w:r>
          </w:p>
        </w:tc>
        <w:tc>
          <w:tcPr>
            <w:tcW w:w="20" w:type="dxa"/>
            <w:vAlign w:val="bottom"/>
            <w:tcBorders>
              <w:bottom w:val="single" w:sz="8" w:color="231F20"/>
            </w:tcBorders>
            <w:shd w:val="clear" w:color="auto" w:fill="E3E4E5"/>
          </w:tcPr>
          <w:p>
            <w:pPr>
              <w:spacing w:after="0"/>
              <w:rPr>
                <w:sz w:val="24"/>
                <w:szCs w:val="24"/>
                <w:color w:val="auto"/>
              </w:rPr>
            </w:pPr>
          </w:p>
        </w:tc>
      </w:tr>
      <w:tr>
        <w:trPr>
          <w:trHeight w:val="265"/>
        </w:trPr>
        <w:tc>
          <w:tcPr>
            <w:tcW w:w="60" w:type="dxa"/>
            <w:vAlign w:val="bottom"/>
          </w:tcPr>
          <w:p>
            <w:pPr>
              <w:spacing w:after="0"/>
              <w:rPr>
                <w:sz w:val="23"/>
                <w:szCs w:val="23"/>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454546"/>
              </w:rPr>
              <w:t>Net loss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454546"/>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(74,283)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54546"/>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54546"/>
              </w:rPr>
              <w:t>(86,620)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4799330</wp:posOffset>
                </wp:positionH>
                <wp:positionV relativeFrom="paragraph">
                  <wp:posOffset>6350</wp:posOffset>
                </wp:positionV>
                <wp:extent cx="17145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9pt,0.5pt" to="512.9pt,0.5pt" o:allowincell="f" strokecolor="#231F20" strokeweight="0.959pt"/>
            </w:pict>
          </mc:Fallback>
        </mc:AlternateContent>
      </w:r>
    </w:p>
    <w:p>
      <w:pPr>
        <w:ind w:left="240" w:right="20" w:hanging="189"/>
        <w:spacing w:after="0" w:line="262" w:lineRule="auto"/>
        <w:tabs>
          <w:tab w:leader="none" w:pos="345" w:val="left"/>
        </w:tabs>
        <w:numPr>
          <w:ilvl w:val="0"/>
          <w:numId w:val="41"/>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Inclusive of $10.4 million and $11.9 million of stock compensation expense for the years ended December 31, 2025 and 2024, respectively; $3.3 million and $3.1 million of depreciation and amortization expense for the years ended December 31, 2025 and 2024, respectively; non-cash impairment charges of $5.9 million and $2.4 million for the years ended December 31, 2025 and 2024, respectively; and a gain on lease modification of $1.6 million for the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4799330</wp:posOffset>
                </wp:positionH>
                <wp:positionV relativeFrom="paragraph">
                  <wp:posOffset>-612140</wp:posOffset>
                </wp:positionV>
                <wp:extent cx="17145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9pt,-48.1999pt" to="512.9pt,-48.1999pt" o:allowincell="f" strokecolor="#231F20" strokeweight="0.96pt"/>
            </w:pict>
          </mc:Fallback>
        </mc:AlternateConten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454546"/>
        </w:rPr>
        <w:t>15. Subsequent Events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454546"/>
        </w:rPr>
        <w:t>January 2026 Offering</w:t>
      </w:r>
    </w:p>
    <w:p>
      <w:pPr>
        <w:spacing w:after="0" w:line="130" w:lineRule="exact"/>
        <w:rPr>
          <w:sz w:val="20"/>
          <w:szCs w:val="20"/>
          <w:color w:val="auto"/>
        </w:rPr>
      </w:pPr>
    </w:p>
    <w:p>
      <w:pPr>
        <w:ind w:left="60" w:right="20" w:firstLine="1"/>
        <w:spacing w:after="0" w:line="255" w:lineRule="auto"/>
        <w:rPr>
          <w:sz w:val="20"/>
          <w:szCs w:val="20"/>
          <w:color w:val="auto"/>
        </w:rPr>
      </w:pPr>
      <w:r>
        <w:rPr>
          <w:rFonts w:ascii="Times New Roman" w:cs="Times New Roman" w:eastAsia="Times New Roman" w:hAnsi="Times New Roman"/>
          <w:sz w:val="20"/>
          <w:szCs w:val="20"/>
          <w:color w:val="454546"/>
        </w:rPr>
        <w:t>On January 9, 2026, the Company entered into securities purchase agreements (the “Purchase Agreements”) with certain leading life sciences investors (the “Investors”), relating to the issuance and sale of 2,030,314 shares of its Common Stock and, in lieu of Common Stock, pre-funded warrants to purchase 5,421,250 shares of Common Stock (the “Pre-Funded Warrants”). The Company sold the shares of Common Stock and Pre-Funded Warrants together with two series of warrants, Series 1 Warrants and Series 2 Warrants, to purchase an aggregate of 7,451,564 shares of the Common Stock (the “Series Warrants”). The Pre-Funded Warrants were exercisable immediately upon issuance at an initial exercise price of $0.0001 per share and have a term of 20 years. The shares of Common Stock, or Pre-Funded Warrants, and the accompanying Series Warrants were immediately separable and were issued separately, but they were purchased together in the offering.</w:t>
      </w:r>
    </w:p>
    <w:p>
      <w:pPr>
        <w:spacing w:after="0" w:line="85" w:lineRule="exact"/>
        <w:rPr>
          <w:sz w:val="20"/>
          <w:szCs w:val="20"/>
          <w:color w:val="auto"/>
        </w:rPr>
      </w:pPr>
    </w:p>
    <w:p>
      <w:pPr>
        <w:ind w:left="60" w:right="20"/>
        <w:spacing w:after="0" w:line="259" w:lineRule="auto"/>
        <w:rPr>
          <w:sz w:val="20"/>
          <w:szCs w:val="20"/>
          <w:color w:val="auto"/>
        </w:rPr>
      </w:pPr>
      <w:r>
        <w:rPr>
          <w:rFonts w:ascii="Times New Roman" w:cs="Times New Roman" w:eastAsia="Times New Roman" w:hAnsi="Times New Roman"/>
          <w:sz w:val="20"/>
          <w:szCs w:val="20"/>
          <w:color w:val="454546"/>
        </w:rPr>
        <w:t>The Series Warrants are immediately exercisable. Each Series 1 Warrant has an initial exercise price of $13.42 per share of Common Stock, subject to certain adjustments, and expires on June 30, 2027. Each Series 2 Warrant has an initial exercise price of $20.13 per share of Common Stock, subject to certain adjustments, and expires on December 31, 2030. For the Series Warrants, the Investor may elect to receive, in lieu of shares of Common Stock, pre-funded warrants to purchase an equivalent number of shares of Common Stock.</w:t>
      </w:r>
    </w:p>
    <w:p>
      <w:pPr>
        <w:sectPr>
          <w:pgSz w:w="11880" w:h="15480" w:orient="portrait"/>
          <w:cols w:equalWidth="0" w:num="1">
            <w:col w:w="10320"/>
          </w:cols>
          <w:pgMar w:left="760" w:top="740" w:right="800" w:bottom="0"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454546"/>
        </w:rPr>
        <w:t>98</w:t>
      </w:r>
    </w:p>
    <w:p>
      <w:pPr>
        <w:sectPr>
          <w:pgSz w:w="11880" w:h="15480" w:orient="portrait"/>
          <w:cols w:equalWidth="0" w:num="1">
            <w:col w:w="10320"/>
          </w:cols>
          <w:pgMar w:left="760" w:top="740" w:right="800" w:bottom="0" w:gutter="0" w:footer="0" w:header="0"/>
          <w:type w:val="continuous"/>
        </w:sectPr>
      </w:pPr>
    </w:p>
    <w:bookmarkStart w:id="100" w:name="page101"/>
    <w:bookmarkEnd w:id="100"/>
    <w:p>
      <w:pPr>
        <w:jc w:val="both"/>
        <w:ind w:right="200"/>
        <w:spacing w:after="0" w:line="259" w:lineRule="auto"/>
        <w:rPr>
          <w:sz w:val="20"/>
          <w:szCs w:val="20"/>
          <w:color w:val="auto"/>
        </w:rPr>
      </w:pPr>
      <w:r>
        <w:rPr>
          <w:rFonts w:ascii="Times New Roman" w:cs="Times New Roman" w:eastAsia="Times New Roman" w:hAnsi="Times New Roman"/>
          <w:sz w:val="20"/>
          <w:szCs w:val="20"/>
          <w:color w:val="454546"/>
        </w:rPr>
        <w:t>The offering price for the shares of Common Stock is $6.71 per share (or $6.7099 for each Pre-Funded Warrant, which equals the price per share of the Common Stock less the exercise price of the Pre-Funded Warrants). The aggregate gross proceeds to the Company from this offering were approximately $50.0 million before any offering expenses, and excluding any proceeds the Company may receive upon exercise of the Pre-Funded Warrants and Series Warrants. No underwriter or placement agent participated in the offering.</w:t>
      </w:r>
    </w:p>
    <w:p>
      <w:pPr>
        <w:spacing w:after="0" w:line="315" w:lineRule="exact"/>
        <w:rPr>
          <w:sz w:val="20"/>
          <w:szCs w:val="20"/>
          <w:color w:val="auto"/>
        </w:rPr>
      </w:pPr>
    </w:p>
    <w:p>
      <w:pPr>
        <w:ind w:right="860"/>
        <w:spacing w:after="0" w:line="295" w:lineRule="auto"/>
        <w:rPr>
          <w:sz w:val="20"/>
          <w:szCs w:val="20"/>
          <w:color w:val="auto"/>
        </w:rPr>
      </w:pPr>
      <w:r>
        <w:rPr>
          <w:rFonts w:ascii="Times New Roman" w:cs="Times New Roman" w:eastAsia="Times New Roman" w:hAnsi="Times New Roman"/>
          <w:sz w:val="20"/>
          <w:szCs w:val="20"/>
          <w:b w:val="1"/>
          <w:bCs w:val="1"/>
          <w:color w:val="454546"/>
        </w:rPr>
        <w:t>ITEM 9. CHANGES IN AND DISAGREEMENTS WITH ACCOUNTANTS ON ACCOUNTING AND FINANCIAL DISCLOSURE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None.</w:t>
      </w:r>
    </w:p>
    <w:p>
      <w:pPr>
        <w:spacing w:after="0" w:line="36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9A.</w:t>
      </w:r>
      <w:r>
        <w:rPr>
          <w:sz w:val="20"/>
          <w:szCs w:val="20"/>
          <w:color w:val="auto"/>
        </w:rPr>
        <w:tab/>
      </w:r>
      <w:r>
        <w:rPr>
          <w:rFonts w:ascii="Times New Roman" w:cs="Times New Roman" w:eastAsia="Times New Roman" w:hAnsi="Times New Roman"/>
          <w:sz w:val="19"/>
          <w:szCs w:val="19"/>
          <w:b w:val="1"/>
          <w:bCs w:val="1"/>
          <w:color w:val="454546"/>
        </w:rPr>
        <w:t>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Evaluation of Disclosure Controls and Procedures</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454546"/>
        </w:rPr>
        <w:t>Our management, under the supervision and with the participation of our Principal Executive Officer (our Chief Executive Officer) and Principal Financial and Accounting Officer (our Chief Financial Officer), has evaluated the effectiveness of our disclosure controls and procedures as of period end.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Principal Financial Officer concluded that, as of such date, our disclosure controls and procedures were effective at the reasonable assurance level.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54546"/>
        </w:rPr>
        <w:t>Internal Control Over Financial Reporting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Management’s Report on Internal Control Over Financial Reporting</w:t>
      </w:r>
    </w:p>
    <w:p>
      <w:pPr>
        <w:spacing w:after="0" w:line="1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454546"/>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generally accepted accounting principles (“GAAP”).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8" w:lineRule="exact"/>
        <w:rPr>
          <w:sz w:val="20"/>
          <w:szCs w:val="20"/>
          <w:color w:val="auto"/>
        </w:rPr>
      </w:pPr>
    </w:p>
    <w:p>
      <w:pPr>
        <w:ind w:left="720" w:right="720" w:hanging="369"/>
        <w:spacing w:after="0" w:line="286" w:lineRule="auto"/>
        <w:tabs>
          <w:tab w:leader="none" w:pos="72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Pertain to the maintenance of records that accurately and fairly reflect in reasonable detail the transactions and dispositions of the assets of our company;</w:t>
      </w:r>
    </w:p>
    <w:p>
      <w:pPr>
        <w:spacing w:after="0" w:line="53" w:lineRule="exact"/>
        <w:rPr>
          <w:rFonts w:ascii="Arial" w:cs="Arial" w:eastAsia="Arial" w:hAnsi="Arial"/>
          <w:sz w:val="20"/>
          <w:szCs w:val="20"/>
          <w:color w:val="454546"/>
        </w:rPr>
      </w:pPr>
    </w:p>
    <w:p>
      <w:pPr>
        <w:ind w:left="720" w:right="140" w:hanging="369"/>
        <w:spacing w:after="0" w:line="267" w:lineRule="auto"/>
        <w:tabs>
          <w:tab w:leader="none" w:pos="720" w:val="left"/>
        </w:tabs>
        <w:numPr>
          <w:ilvl w:val="0"/>
          <w:numId w:val="42"/>
        </w:numPr>
        <w:rPr>
          <w:rFonts w:ascii="Arial" w:cs="Arial" w:eastAsia="Arial" w:hAnsi="Arial"/>
          <w:sz w:val="20"/>
          <w:szCs w:val="20"/>
          <w:color w:val="454546"/>
        </w:rPr>
      </w:pPr>
      <w:r>
        <w:rPr>
          <w:rFonts w:ascii="Times New Roman" w:cs="Times New Roman" w:eastAsia="Times New Roman" w:hAnsi="Times New Roman"/>
          <w:sz w:val="20"/>
          <w:szCs w:val="20"/>
          <w:color w:val="454546"/>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9" w:lineRule="exact"/>
        <w:rPr>
          <w:rFonts w:ascii="Arial" w:cs="Arial" w:eastAsia="Arial" w:hAnsi="Arial"/>
          <w:sz w:val="20"/>
          <w:szCs w:val="20"/>
          <w:color w:val="454546"/>
        </w:rPr>
      </w:pPr>
    </w:p>
    <w:p>
      <w:pPr>
        <w:ind w:left="720" w:right="80" w:hanging="369"/>
        <w:spacing w:after="0" w:line="287" w:lineRule="auto"/>
        <w:tabs>
          <w:tab w:leader="none" w:pos="720" w:val="left"/>
        </w:tabs>
        <w:numPr>
          <w:ilvl w:val="0"/>
          <w:numId w:val="42"/>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Provide reasonable assurances regarding prevention or timely detection of unauthorized acquisition, use or disposition of our assets that could have a material adverse effect on our financial statements.</w:t>
      </w:r>
    </w:p>
    <w:p>
      <w:pPr>
        <w:spacing w:after="0" w:line="5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454546"/>
        </w:rPr>
        <w:t>Management assessed our internal control over financial reporting as of December 31, 2025,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454546"/>
        </w:rPr>
        <w:t>Based on this assessment, management has concluded that our internal controls over financial reporting were effective as of December 31, 2025 and provide reasonable assurance regarding the reliability of financial reporting and the preparation of</w:t>
      </w:r>
    </w:p>
    <w:p>
      <w:pPr>
        <w:sectPr>
          <w:pgSz w:w="11880" w:h="15480" w:orient="portrait"/>
          <w:cols w:equalWidth="0" w:num="1">
            <w:col w:w="10260"/>
          </w:cols>
          <w:pgMar w:left="820" w:top="504" w:right="800" w:bottom="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454546"/>
        </w:rPr>
        <w:t>99</w:t>
      </w:r>
    </w:p>
    <w:p>
      <w:pPr>
        <w:sectPr>
          <w:pgSz w:w="11880" w:h="15480" w:orient="portrait"/>
          <w:cols w:equalWidth="0" w:num="1">
            <w:col w:w="10260"/>
          </w:cols>
          <w:pgMar w:left="820" w:top="504" w:right="800" w:bottom="0" w:gutter="0" w:footer="0" w:header="0"/>
          <w:type w:val="continuous"/>
        </w:sectPr>
      </w:pPr>
    </w:p>
    <w:bookmarkStart w:id="101" w:name="page102"/>
    <w:bookmarkEnd w:id="101"/>
    <w:p>
      <w:pPr>
        <w:jc w:val="both"/>
        <w:spacing w:after="0" w:line="287" w:lineRule="auto"/>
        <w:rPr>
          <w:sz w:val="20"/>
          <w:szCs w:val="20"/>
          <w:color w:val="auto"/>
        </w:rPr>
      </w:pPr>
      <w:r>
        <w:rPr>
          <w:rFonts w:ascii="Times New Roman" w:cs="Times New Roman" w:eastAsia="Times New Roman" w:hAnsi="Times New Roman"/>
          <w:sz w:val="20"/>
          <w:szCs w:val="20"/>
          <w:color w:val="454546"/>
        </w:rPr>
        <w:t>financial statements for external reporting purposes in accordance with GAAP. We reviewed the results of management’s assessment with the Audit Committee of our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Attestation Report of the Registered Public Accounting Firm</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454546"/>
        </w:rPr>
        <w:t>This Annual Report does not include an attestation report of our independent registered public accounting firm regarding internal control over financial reporting. Our independent registered public accounting firm will not be required to opine on the effectiveness of our internal control over financial reporting until we are no longer a non-accelerated filer within the meaning of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Changes in Internal Control Over Financial Reporting</w:t>
      </w:r>
    </w:p>
    <w:p>
      <w:pPr>
        <w:spacing w:after="0" w:line="13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454546"/>
        </w:rPr>
        <w:t>No change in our internal control over financial reporting (as defined in Rules 13a-15(f) and 15d-15(f) under the Exchange Act) occurred during the three months ended December 31, 2025 that has materially affected, or is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Inherent Limitations on Effectiveness of Internal Controls</w:t>
      </w:r>
    </w:p>
    <w:p>
      <w:pPr>
        <w:spacing w:after="0" w:line="13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454546"/>
        </w:rPr>
        <w:t>In designing and evaluating the disclosure controls and procedures, management does not expect that our internal control over financial reporting will prevent or detect all errors and all fraud. Internal control over financial reporting is a process that involves human diligence and compliance and is subject to lapses in judgment and breakdowns resulting from human failures.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3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9B.</w:t>
      </w:r>
      <w:r>
        <w:rPr>
          <w:sz w:val="20"/>
          <w:szCs w:val="20"/>
          <w:color w:val="auto"/>
        </w:rPr>
        <w:tab/>
      </w:r>
      <w:r>
        <w:rPr>
          <w:rFonts w:ascii="Times New Roman" w:cs="Times New Roman" w:eastAsia="Times New Roman" w:hAnsi="Times New Roman"/>
          <w:sz w:val="19"/>
          <w:szCs w:val="19"/>
          <w:b w:val="1"/>
          <w:bCs w:val="1"/>
          <w:color w:val="454546"/>
        </w:rPr>
        <w:t>OTHER INFORMATION</w:t>
      </w:r>
    </w:p>
    <w:p>
      <w:pPr>
        <w:spacing w:after="0" w:line="13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454546"/>
        </w:rPr>
        <w:t>During the three months ended December 31, 2025, none of our directors or officers (as defined in Rule 16a-1(f) under the Securities Exchange Act of 1934, as amended) entered into, modified (as to amount, price or timing of trades) or terminated any “Rule 10b5-1 trading arrangements” or any “non-Rule 10b5-1 trading arrangements,” as such terms are defined in Item 408 of Regulation S-K.</w:t>
      </w:r>
    </w:p>
    <w:p>
      <w:pPr>
        <w:spacing w:after="0" w:line="31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9C.</w:t>
      </w:r>
      <w:r>
        <w:rPr>
          <w:sz w:val="20"/>
          <w:szCs w:val="20"/>
          <w:color w:val="auto"/>
        </w:rPr>
        <w:tab/>
      </w:r>
      <w:r>
        <w:rPr>
          <w:rFonts w:ascii="Times New Roman" w:cs="Times New Roman" w:eastAsia="Times New Roman" w:hAnsi="Times New Roman"/>
          <w:sz w:val="19"/>
          <w:szCs w:val="19"/>
          <w:b w:val="1"/>
          <w:bCs w:val="1"/>
          <w:color w:val="454546"/>
        </w:rPr>
        <w:t>DISCLOSURE REGARDING FOREIGN JURISDICTIONS THAT PREVENT INSPECTIONS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Not applicable.</w:t>
      </w:r>
    </w:p>
    <w:p>
      <w:pPr>
        <w:sectPr>
          <w:pgSz w:w="11880" w:h="15480" w:orient="portrait"/>
          <w:cols w:equalWidth="0" w:num="1">
            <w:col w:w="10260"/>
          </w:cols>
          <w:pgMar w:left="820" w:top="50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454546"/>
        </w:rPr>
        <w:t>100</w:t>
      </w:r>
    </w:p>
    <w:p>
      <w:pPr>
        <w:sectPr>
          <w:pgSz w:w="11880" w:h="15480" w:orient="portrait"/>
          <w:cols w:equalWidth="0" w:num="1">
            <w:col w:w="10260"/>
          </w:cols>
          <w:pgMar w:left="820" w:top="504" w:right="800" w:bottom="0" w:gutter="0" w:footer="0" w:header="0"/>
          <w:type w:val="continuous"/>
        </w:sectPr>
      </w:pPr>
    </w:p>
    <w:bookmarkStart w:id="102" w:name="page103"/>
    <w:bookmarkEnd w:id="102"/>
    <w:p>
      <w:pPr>
        <w:ind w:left="4720"/>
        <w:spacing w:after="0"/>
        <w:rPr>
          <w:sz w:val="20"/>
          <w:szCs w:val="20"/>
          <w:color w:val="auto"/>
        </w:rPr>
      </w:pPr>
      <w:r>
        <w:rPr>
          <w:rFonts w:ascii="Times New Roman" w:cs="Times New Roman" w:eastAsia="Times New Roman" w:hAnsi="Times New Roman"/>
          <w:sz w:val="20"/>
          <w:szCs w:val="20"/>
          <w:b w:val="1"/>
          <w:bCs w:val="1"/>
          <w:color w:val="454546"/>
        </w:rPr>
        <w:t>PART III</w:t>
      </w:r>
    </w:p>
    <w:p>
      <w:pPr>
        <w:spacing w:after="0" w:line="19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10.</w:t>
      </w:r>
      <w:r>
        <w:rPr>
          <w:sz w:val="20"/>
          <w:szCs w:val="20"/>
          <w:color w:val="auto"/>
        </w:rPr>
        <w:tab/>
      </w:r>
      <w:r>
        <w:rPr>
          <w:rFonts w:ascii="Times New Roman" w:cs="Times New Roman" w:eastAsia="Times New Roman" w:hAnsi="Times New Roman"/>
          <w:sz w:val="19"/>
          <w:szCs w:val="19"/>
          <w:b w:val="1"/>
          <w:bCs w:val="1"/>
          <w:color w:val="454546"/>
        </w:rPr>
        <w:t>DIRECTORS, EXECUTIVE OFFICERS AND CORPORATE GOVERNANCE</w:t>
      </w:r>
    </w:p>
    <w:p>
      <w:pPr>
        <w:spacing w:after="0" w:line="13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The information required by this Item 10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11.</w:t>
      </w:r>
      <w:r>
        <w:rPr>
          <w:sz w:val="20"/>
          <w:szCs w:val="20"/>
          <w:color w:val="auto"/>
        </w:rPr>
        <w:tab/>
      </w:r>
      <w:r>
        <w:rPr>
          <w:rFonts w:ascii="Times New Roman" w:cs="Times New Roman" w:eastAsia="Times New Roman" w:hAnsi="Times New Roman"/>
          <w:sz w:val="19"/>
          <w:szCs w:val="19"/>
          <w:b w:val="1"/>
          <w:bCs w:val="1"/>
          <w:color w:val="454546"/>
        </w:rPr>
        <w:t>EXECUTIVE COMPENSATION</w:t>
      </w:r>
    </w:p>
    <w:p>
      <w:pPr>
        <w:spacing w:after="0" w:line="13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The information required by this Item 11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0"/>
          <w:szCs w:val="20"/>
          <w:b w:val="1"/>
          <w:bCs w:val="1"/>
          <w:color w:val="454546"/>
        </w:rPr>
        <w:t>ITEM 12. SECURITY OWNERSHIP OF CERTAIN BENEFICIAL OWNERS AND MANAGEMENT AND RELATED STOCKHOLDER MATTERS</w:t>
      </w:r>
    </w:p>
    <w:p>
      <w:pPr>
        <w:spacing w:after="0" w:line="3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The information required by this Item 12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40" w:right="980" w:hanging="1439"/>
        <w:spacing w:after="0" w:line="295" w:lineRule="auto"/>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13.</w:t>
      </w:r>
      <w:r>
        <w:rPr>
          <w:sz w:val="20"/>
          <w:szCs w:val="20"/>
          <w:color w:val="auto"/>
        </w:rPr>
        <w:tab/>
      </w:r>
      <w:r>
        <w:rPr>
          <w:rFonts w:ascii="Times New Roman" w:cs="Times New Roman" w:eastAsia="Times New Roman" w:hAnsi="Times New Roman"/>
          <w:sz w:val="20"/>
          <w:szCs w:val="20"/>
          <w:b w:val="1"/>
          <w:bCs w:val="1"/>
          <w:color w:val="454546"/>
        </w:rPr>
        <w:t>CERTAIN RELATIONSHIPS AND RELATED TRANSACTIONS, AND DIRECTOR INDEPENDENCE</w:t>
      </w:r>
    </w:p>
    <w:p>
      <w:pPr>
        <w:spacing w:after="0" w:line="3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The information required by this Item 13 will be included in our definitive proxy statement to be filed with the SEC with respect to our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454546"/>
        </w:rPr>
        <w:t>ITEM 14.</w:t>
      </w:r>
      <w:r>
        <w:rPr>
          <w:sz w:val="20"/>
          <w:szCs w:val="20"/>
          <w:color w:val="auto"/>
        </w:rPr>
        <w:tab/>
      </w:r>
      <w:r>
        <w:rPr>
          <w:rFonts w:ascii="Times New Roman" w:cs="Times New Roman" w:eastAsia="Times New Roman" w:hAnsi="Times New Roman"/>
          <w:sz w:val="19"/>
          <w:szCs w:val="19"/>
          <w:b w:val="1"/>
          <w:bCs w:val="1"/>
          <w:color w:val="454546"/>
        </w:rPr>
        <w:t>PRINCIPAL ACCOUNTANT FEES AND SERVICES</w:t>
      </w:r>
    </w:p>
    <w:p>
      <w:pPr>
        <w:spacing w:after="0" w:line="13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color w:val="454546"/>
        </w:rPr>
        <w:t>The information required by this Item 14 will be included in our definitive proxy statement to be filed with the SEC with respect to our 2026 Annual Meeting of Stockholders and is incorporated herein by reference.</w:t>
      </w:r>
    </w:p>
    <w:p>
      <w:pPr>
        <w:sectPr>
          <w:pgSz w:w="11880" w:h="15480" w:orient="portrait"/>
          <w:cols w:equalWidth="0" w:num="1">
            <w:col w:w="9740"/>
          </w:cols>
          <w:pgMar w:left="820" w:top="50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454546"/>
        </w:rPr>
        <w:t>101</w:t>
      </w:r>
    </w:p>
    <w:p>
      <w:pPr>
        <w:sectPr>
          <w:pgSz w:w="11880" w:h="15480" w:orient="portrait"/>
          <w:cols w:equalWidth="0" w:num="1">
            <w:col w:w="9740"/>
          </w:cols>
          <w:pgMar w:left="820" w:top="500" w:right="1320" w:bottom="0" w:gutter="0" w:footer="0" w:header="0"/>
          <w:type w:val="continuous"/>
        </w:sectPr>
      </w:pPr>
    </w:p>
    <w:bookmarkStart w:id="103" w:name="page104"/>
    <w:bookmarkEnd w:id="103"/>
    <w:p>
      <w:pPr>
        <w:jc w:val="center"/>
        <w:ind w:right="-99"/>
        <w:spacing w:after="0"/>
        <w:rPr>
          <w:sz w:val="20"/>
          <w:szCs w:val="20"/>
          <w:color w:val="auto"/>
        </w:rPr>
      </w:pPr>
      <w:r>
        <w:rPr>
          <w:rFonts w:ascii="Times New Roman" w:cs="Times New Roman" w:eastAsia="Times New Roman" w:hAnsi="Times New Roman"/>
          <w:sz w:val="20"/>
          <w:szCs w:val="20"/>
          <w:b w:val="1"/>
          <w:bCs w:val="1"/>
          <w:color w:val="454546"/>
        </w:rPr>
        <w:t>PART IV</w:t>
      </w:r>
    </w:p>
    <w:p>
      <w:pPr>
        <w:spacing w:after="0" w:line="370" w:lineRule="exact"/>
        <w:rPr>
          <w:sz w:val="20"/>
          <w:szCs w:val="20"/>
          <w:color w:val="auto"/>
        </w:rPr>
      </w:pPr>
    </w:p>
    <w:p>
      <w:pPr>
        <w:ind w:left="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454546"/>
        </w:rPr>
        <w:t>ITEM 15.</w:t>
      </w:r>
      <w:r>
        <w:rPr>
          <w:sz w:val="20"/>
          <w:szCs w:val="20"/>
          <w:color w:val="auto"/>
        </w:rPr>
        <w:tab/>
      </w:r>
      <w:r>
        <w:rPr>
          <w:rFonts w:ascii="Times New Roman" w:cs="Times New Roman" w:eastAsia="Times New Roman" w:hAnsi="Times New Roman"/>
          <w:sz w:val="19"/>
          <w:szCs w:val="19"/>
          <w:b w:val="1"/>
          <w:bCs w:val="1"/>
          <w:color w:val="454546"/>
        </w:rPr>
        <w:t>EXHIBIT AND FINANCIAL STATEMENT SCHEDULES</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1. Financial Statements</w:t>
      </w:r>
    </w:p>
    <w:p>
      <w:pPr>
        <w:spacing w:after="0" w:line="128" w:lineRule="exact"/>
        <w:rPr>
          <w:sz w:val="20"/>
          <w:szCs w:val="20"/>
          <w:color w:val="auto"/>
        </w:rPr>
      </w:pPr>
    </w:p>
    <w:p>
      <w:pPr>
        <w:ind w:left="60" w:right="380"/>
        <w:spacing w:after="0" w:line="287" w:lineRule="auto"/>
        <w:rPr>
          <w:sz w:val="20"/>
          <w:szCs w:val="20"/>
          <w:color w:val="auto"/>
        </w:rPr>
      </w:pPr>
      <w:r>
        <w:rPr>
          <w:rFonts w:ascii="Times New Roman" w:cs="Times New Roman" w:eastAsia="Times New Roman" w:hAnsi="Times New Roman"/>
          <w:sz w:val="20"/>
          <w:szCs w:val="20"/>
          <w:color w:val="454546"/>
        </w:rPr>
        <w:t>For a list of the financial statements included herein, see Index to the Consolidated Financial Statements on page 89 of this Annual Report on Form 10-K, incorporated into this Item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2. Financial Statement Schedules</w:t>
      </w:r>
    </w:p>
    <w:p>
      <w:pPr>
        <w:spacing w:after="0" w:line="128" w:lineRule="exact"/>
        <w:rPr>
          <w:sz w:val="20"/>
          <w:szCs w:val="20"/>
          <w:color w:val="auto"/>
        </w:rPr>
      </w:pPr>
    </w:p>
    <w:p>
      <w:pPr>
        <w:ind w:left="60" w:right="320"/>
        <w:spacing w:after="0" w:line="287" w:lineRule="auto"/>
        <w:rPr>
          <w:sz w:val="20"/>
          <w:szCs w:val="20"/>
          <w:color w:val="auto"/>
        </w:rPr>
      </w:pPr>
      <w:r>
        <w:rPr>
          <w:rFonts w:ascii="Times New Roman" w:cs="Times New Roman" w:eastAsia="Times New Roman" w:hAnsi="Times New Roman"/>
          <w:sz w:val="20"/>
          <w:szCs w:val="20"/>
          <w:color w:val="454546"/>
        </w:rPr>
        <w:t>Financial statement schedules have been omitted because they are either not required or not applicable or the information is included in the consolidated financial statements or the notes thereto.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454546"/>
        </w:rPr>
        <w:t>3. Exhibits</w:t>
      </w:r>
    </w:p>
    <w:p>
      <w:pPr>
        <w:spacing w:after="0" w:line="128" w:lineRule="exact"/>
        <w:rPr>
          <w:sz w:val="20"/>
          <w:szCs w:val="20"/>
          <w:color w:val="auto"/>
        </w:rPr>
      </w:pPr>
    </w:p>
    <w:p>
      <w:pPr>
        <w:ind w:left="60" w:right="480"/>
        <w:spacing w:after="0" w:line="287" w:lineRule="auto"/>
        <w:rPr>
          <w:sz w:val="20"/>
          <w:szCs w:val="20"/>
          <w:color w:val="auto"/>
        </w:rPr>
      </w:pPr>
      <w:r>
        <w:rPr>
          <w:rFonts w:ascii="Times New Roman" w:cs="Times New Roman" w:eastAsia="Times New Roman" w:hAnsi="Times New Roman"/>
          <w:sz w:val="20"/>
          <w:szCs w:val="20"/>
          <w:color w:val="454546"/>
        </w:rPr>
        <w:t>The exhibits required by Item 601 of Regulation S-K and Item 15(b) of this Annual Report on Form 10-K are listed in the Exhibit Index immediately preceding the signature page of this Annual Report on Form 10-K.</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454546"/>
                <w:w w:val="98"/>
              </w:rPr>
              <w:t>ITEM 16.</w:t>
            </w:r>
          </w:p>
        </w:tc>
        <w:tc>
          <w:tcPr>
            <w:tcW w:w="200" w:type="dxa"/>
            <w:vAlign w:val="bottom"/>
          </w:tcPr>
          <w:p>
            <w:pPr>
              <w:spacing w:after="0"/>
              <w:rPr>
                <w:sz w:val="23"/>
                <w:szCs w:val="23"/>
                <w:color w:val="auto"/>
              </w:rPr>
            </w:pPr>
          </w:p>
        </w:tc>
        <w:tc>
          <w:tcPr>
            <w:tcW w:w="914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454546"/>
              </w:rPr>
              <w:t>FORM 10-K SUMMARY</w:t>
            </w:r>
          </w:p>
        </w:tc>
        <w:tc>
          <w:tcPr>
            <w:tcW w:w="0" w:type="dxa"/>
            <w:vAlign w:val="bottom"/>
          </w:tcPr>
          <w:p>
            <w:pPr>
              <w:spacing w:after="0"/>
              <w:rPr>
                <w:sz w:val="1"/>
                <w:szCs w:val="1"/>
                <w:color w:val="auto"/>
              </w:rPr>
            </w:pPr>
          </w:p>
        </w:tc>
      </w:tr>
      <w:tr>
        <w:trPr>
          <w:trHeight w:val="356"/>
        </w:trPr>
        <w:tc>
          <w:tcPr>
            <w:tcW w:w="92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454546"/>
              </w:rPr>
              <w:t>None.</w:t>
            </w:r>
          </w:p>
        </w:tc>
        <w:tc>
          <w:tcPr>
            <w:tcW w:w="2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1"/>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200" w:type="dxa"/>
            <w:vAlign w:val="bottom"/>
          </w:tcPr>
          <w:p>
            <w:pPr>
              <w:spacing w:after="0"/>
              <w:rPr>
                <w:sz w:val="24"/>
                <w:szCs w:val="24"/>
                <w:color w:val="auto"/>
              </w:rPr>
            </w:pPr>
          </w:p>
        </w:tc>
        <w:tc>
          <w:tcPr>
            <w:tcW w:w="9140" w:type="dxa"/>
            <w:vAlign w:val="bottom"/>
            <w:vMerge w:val="restart"/>
          </w:tcPr>
          <w:p>
            <w:pPr>
              <w:ind w:left="3720"/>
              <w:spacing w:after="0"/>
              <w:rPr>
                <w:sz w:val="20"/>
                <w:szCs w:val="20"/>
                <w:color w:val="auto"/>
              </w:rPr>
            </w:pPr>
            <w:r>
              <w:rPr>
                <w:rFonts w:ascii="Times New Roman" w:cs="Times New Roman" w:eastAsia="Times New Roman" w:hAnsi="Times New Roman"/>
                <w:sz w:val="16"/>
                <w:szCs w:val="16"/>
                <w:b w:val="1"/>
                <w:bCs w:val="1"/>
                <w:color w:val="454546"/>
              </w:rPr>
              <w:t>Description of document</w:t>
            </w:r>
          </w:p>
        </w:tc>
        <w:tc>
          <w:tcPr>
            <w:tcW w:w="0" w:type="dxa"/>
            <w:vAlign w:val="bottom"/>
          </w:tcPr>
          <w:p>
            <w:pPr>
              <w:spacing w:after="0"/>
              <w:rPr>
                <w:sz w:val="1"/>
                <w:szCs w:val="1"/>
                <w:color w:val="auto"/>
              </w:rPr>
            </w:pPr>
          </w:p>
        </w:tc>
      </w:tr>
      <w:tr>
        <w:trPr>
          <w:trHeight w:val="222"/>
        </w:trPr>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number</w:t>
            </w:r>
          </w:p>
        </w:tc>
        <w:tc>
          <w:tcPr>
            <w:tcW w:w="200" w:type="dxa"/>
            <w:vAlign w:val="bottom"/>
          </w:tcPr>
          <w:p>
            <w:pPr>
              <w:spacing w:after="0"/>
              <w:rPr>
                <w:sz w:val="19"/>
                <w:szCs w:val="19"/>
                <w:color w:val="auto"/>
              </w:rPr>
            </w:pPr>
          </w:p>
        </w:tc>
        <w:tc>
          <w:tcPr>
            <w:tcW w:w="914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3.1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Third Amended and Restated Certificate of Incorporation of Foghorn Therapeutics Inc.(Incorporated by</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reference to Exhibit 3.1 to the Registrant’s Current Report on Form 8-K (File No. 001-39634), filed on October</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27, 2020).</w:t>
            </w:r>
          </w:p>
        </w:tc>
        <w:tc>
          <w:tcPr>
            <w:tcW w:w="0" w:type="dxa"/>
            <w:vAlign w:val="bottom"/>
          </w:tcPr>
          <w:p>
            <w:pPr>
              <w:spacing w:after="0"/>
              <w:rPr>
                <w:sz w:val="1"/>
                <w:szCs w:val="1"/>
                <w:color w:val="auto"/>
              </w:rPr>
            </w:pPr>
          </w:p>
        </w:tc>
      </w:tr>
      <w:tr>
        <w:trPr>
          <w:trHeight w:val="407"/>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3.2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and Restated By-laws of Foghorn Therapeutics Inc., dated March 7, 2023 (Incorporated by reference</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to Exhibit 3.1 to the Registrant’s Current Report on Form 8-K (File No. 001-39634), filed on March 9, 2023).</w:t>
            </w:r>
          </w:p>
        </w:tc>
        <w:tc>
          <w:tcPr>
            <w:tcW w:w="0" w:type="dxa"/>
            <w:vAlign w:val="bottom"/>
          </w:tcPr>
          <w:p>
            <w:pPr>
              <w:spacing w:after="0"/>
              <w:rPr>
                <w:sz w:val="1"/>
                <w:szCs w:val="1"/>
                <w:color w:val="auto"/>
              </w:rPr>
            </w:pPr>
          </w:p>
        </w:tc>
      </w:tr>
      <w:tr>
        <w:trPr>
          <w:trHeight w:val="395"/>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Specimen stock certificate evidencing shares of common stock (Incorporated by reference to Exhibit 4.1 to the</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Registrant’s Registration Statement on Form S-1 (File No. 333-249264), as amended, filed on October 19,</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2020).</w:t>
            </w:r>
          </w:p>
        </w:tc>
        <w:tc>
          <w:tcPr>
            <w:tcW w:w="0" w:type="dxa"/>
            <w:vAlign w:val="bottom"/>
          </w:tcPr>
          <w:p>
            <w:pPr>
              <w:spacing w:after="0"/>
              <w:rPr>
                <w:sz w:val="1"/>
                <w:szCs w:val="1"/>
                <w:color w:val="auto"/>
              </w:rPr>
            </w:pPr>
          </w:p>
        </w:tc>
      </w:tr>
      <w:tr>
        <w:trPr>
          <w:trHeight w:val="404"/>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and Restated Investors’ Rights Agreement, by and among Foghorn Therapeutics Inc. and the investors</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party thereto, dated as of December 18, 2018 (Incorporated by reference to Exhibit 4.2 to the Registrant’s</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Registration Statement on Form S-1 (File No. 333-249264), as amended, filed on October 19, 2020).</w:t>
            </w:r>
          </w:p>
        </w:tc>
        <w:tc>
          <w:tcPr>
            <w:tcW w:w="0" w:type="dxa"/>
            <w:vAlign w:val="bottom"/>
          </w:tcPr>
          <w:p>
            <w:pPr>
              <w:spacing w:after="0"/>
              <w:rPr>
                <w:sz w:val="1"/>
                <w:szCs w:val="1"/>
                <w:color w:val="auto"/>
              </w:rPr>
            </w:pPr>
          </w:p>
        </w:tc>
      </w:tr>
      <w:tr>
        <w:trPr>
          <w:trHeight w:val="406"/>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4.3</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Amendment to the Investors’ Rights Agreement and the Voting Agreement, dated December 18, 2018, by and</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among Foghorn Therapeutics Inc. and the investors party thereto, dated as of April 17, 2020 (Incorporated by</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reference to Exhibit 4.3 to the Registrant’s Registration Statement on Form S-1 (File No. 333-249264), as</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filed on October 2, 2020).</w:t>
            </w:r>
          </w:p>
        </w:tc>
        <w:tc>
          <w:tcPr>
            <w:tcW w:w="0" w:type="dxa"/>
            <w:vAlign w:val="bottom"/>
          </w:tcPr>
          <w:p>
            <w:pPr>
              <w:spacing w:after="0"/>
              <w:rPr>
                <w:sz w:val="1"/>
                <w:szCs w:val="1"/>
                <w:color w:val="auto"/>
              </w:rPr>
            </w:pPr>
          </w:p>
        </w:tc>
      </w:tr>
      <w:tr>
        <w:trPr>
          <w:trHeight w:val="399"/>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4.4</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Warrant to Purchase Series A-2 Preferred Stock of the Registrant issued to Silicon Valley Bank, dated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November 29, 2016 (Incorporated by reference to Exhibit 4.4 to the Registrant’s Registration Statement on</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S-1 (File No. 333-249264), as amended, filed on October 2, 2020).</w:t>
            </w:r>
          </w:p>
        </w:tc>
        <w:tc>
          <w:tcPr>
            <w:tcW w:w="0" w:type="dxa"/>
            <w:vAlign w:val="bottom"/>
          </w:tcPr>
          <w:p>
            <w:pPr>
              <w:spacing w:after="0"/>
              <w:rPr>
                <w:sz w:val="1"/>
                <w:szCs w:val="1"/>
                <w:color w:val="auto"/>
              </w:rPr>
            </w:pPr>
          </w:p>
        </w:tc>
      </w:tr>
      <w:tr>
        <w:trPr>
          <w:trHeight w:val="404"/>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4.5</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Warrant to Purchase Common Stock of the Registrant issued to Oxford Finance LLC (Incorporated by</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reference to Exhibit 4.1 to the Registrant’s Current Report on Form 8-K (File No. 001-39634), filed on</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November 25, 2020).</w:t>
            </w:r>
          </w:p>
        </w:tc>
        <w:tc>
          <w:tcPr>
            <w:tcW w:w="0" w:type="dxa"/>
            <w:vAlign w:val="bottom"/>
          </w:tcPr>
          <w:p>
            <w:pPr>
              <w:spacing w:after="0"/>
              <w:rPr>
                <w:sz w:val="1"/>
                <w:szCs w:val="1"/>
                <w:color w:val="auto"/>
              </w:rPr>
            </w:pPr>
          </w:p>
        </w:tc>
      </w:tr>
      <w:tr>
        <w:trPr>
          <w:trHeight w:val="404"/>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4.6</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Description of Registrant’s Securities (Incorporated by reference to Exhibit 4.6 to the Registrant’s Annual</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Report on Form 10-K for the year ended December 31, 2024 (File No. 001-39634), filed on March 6, 2025).</w:t>
            </w:r>
          </w:p>
        </w:tc>
        <w:tc>
          <w:tcPr>
            <w:tcW w:w="0" w:type="dxa"/>
            <w:vAlign w:val="bottom"/>
          </w:tcPr>
          <w:p>
            <w:pPr>
              <w:spacing w:after="0"/>
              <w:rPr>
                <w:sz w:val="1"/>
                <w:szCs w:val="1"/>
                <w:color w:val="auto"/>
              </w:rPr>
            </w:pPr>
          </w:p>
        </w:tc>
      </w:tr>
      <w:tr>
        <w:trPr>
          <w:trHeight w:val="380"/>
        </w:trPr>
        <w:tc>
          <w:tcPr>
            <w:tcW w:w="920" w:type="dxa"/>
            <w:vAlign w:val="bottom"/>
          </w:tcPr>
          <w:p>
            <w:pPr>
              <w:jc w:val="right"/>
              <w:ind w:right="303"/>
              <w:spacing w:after="0"/>
              <w:rPr>
                <w:sz w:val="20"/>
                <w:szCs w:val="20"/>
                <w:color w:val="auto"/>
              </w:rPr>
            </w:pPr>
            <w:r>
              <w:rPr>
                <w:rFonts w:ascii="Times New Roman" w:cs="Times New Roman" w:eastAsia="Times New Roman" w:hAnsi="Times New Roman"/>
                <w:sz w:val="20"/>
                <w:szCs w:val="20"/>
                <w:color w:val="454546"/>
              </w:rPr>
              <w:t>4.7</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Amendment to Amended and Restated Investors’ Rights Agreement dated December 18, 2018, by and among</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140" w:type="dxa"/>
            <w:vAlign w:val="bottom"/>
          </w:tcPr>
          <w:p>
            <w:pPr>
              <w:ind w:left="60"/>
              <w:spacing w:after="0" w:line="224" w:lineRule="exact"/>
              <w:rPr>
                <w:sz w:val="20"/>
                <w:szCs w:val="20"/>
                <w:color w:val="auto"/>
              </w:rPr>
            </w:pPr>
            <w:r>
              <w:rPr>
                <w:rFonts w:ascii="Times New Roman" w:cs="Times New Roman" w:eastAsia="Times New Roman" w:hAnsi="Times New Roman"/>
                <w:sz w:val="20"/>
                <w:szCs w:val="20"/>
                <w:color w:val="454546"/>
              </w:rPr>
              <w:t>Foghorn Therapeutics Inc. and the investors party thereto, dated as of December 10, 2021 (Incorporated by</w:t>
            </w:r>
          </w:p>
        </w:tc>
        <w:tc>
          <w:tcPr>
            <w:tcW w:w="0" w:type="dxa"/>
            <w:vAlign w:val="bottom"/>
          </w:tcPr>
          <w:p>
            <w:pPr>
              <w:spacing w:after="0"/>
              <w:rPr>
                <w:sz w:val="1"/>
                <w:szCs w:val="1"/>
                <w:color w:val="auto"/>
              </w:rPr>
            </w:pPr>
          </w:p>
        </w:tc>
      </w:tr>
    </w:tbl>
    <w:p>
      <w:pPr>
        <w:ind w:left="1180" w:right="860"/>
        <w:spacing w:after="0" w:line="227" w:lineRule="auto"/>
        <w:rPr>
          <w:sz w:val="20"/>
          <w:szCs w:val="20"/>
          <w:color w:val="auto"/>
        </w:rPr>
      </w:pPr>
      <w:r>
        <w:rPr>
          <w:rFonts w:ascii="Times New Roman" w:cs="Times New Roman" w:eastAsia="Times New Roman" w:hAnsi="Times New Roman"/>
          <w:sz w:val="20"/>
          <w:szCs w:val="20"/>
          <w:color w:val="454546"/>
        </w:rPr>
        <w:t>reference to Exhibit 4.1 to the Registrant’s Current Report on Form 8-K (File No. 001-39634), filed on December 13, 2021).</w:t>
      </w:r>
    </w:p>
    <w:p>
      <w:pPr>
        <w:sectPr>
          <w:pgSz w:w="11880" w:h="15480" w:orient="portrait"/>
          <w:cols w:equalWidth="0" w:num="1">
            <w:col w:w="10260"/>
          </w:cols>
          <w:pgMar w:left="760" w:top="500" w:right="86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102</w:t>
      </w:r>
    </w:p>
    <w:p>
      <w:pPr>
        <w:sectPr>
          <w:pgSz w:w="11880" w:h="15480" w:orient="portrait"/>
          <w:cols w:equalWidth="0" w:num="1">
            <w:col w:w="10260"/>
          </w:cols>
          <w:pgMar w:left="760" w:top="500" w:right="86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200" w:type="dxa"/>
            <w:vAlign w:val="bottom"/>
          </w:tcPr>
          <w:p>
            <w:pPr>
              <w:spacing w:after="0"/>
              <w:rPr>
                <w:sz w:val="16"/>
                <w:szCs w:val="16"/>
                <w:color w:val="auto"/>
              </w:rPr>
            </w:pPr>
          </w:p>
        </w:tc>
        <w:tc>
          <w:tcPr>
            <w:tcW w:w="9140" w:type="dxa"/>
            <w:vAlign w:val="bottom"/>
            <w:vMerge w:val="restart"/>
          </w:tcPr>
          <w:p>
            <w:pPr>
              <w:ind w:left="3720"/>
              <w:spacing w:after="0"/>
              <w:rPr>
                <w:sz w:val="20"/>
                <w:szCs w:val="20"/>
                <w:color w:val="auto"/>
              </w:rPr>
            </w:pPr>
            <w:r>
              <w:rPr>
                <w:rFonts w:ascii="Times New Roman" w:cs="Times New Roman" w:eastAsia="Times New Roman" w:hAnsi="Times New Roman"/>
                <w:sz w:val="16"/>
                <w:szCs w:val="16"/>
                <w:b w:val="1"/>
                <w:bCs w:val="1"/>
                <w:color w:val="454546"/>
              </w:rPr>
              <w:t>Description of document</w:t>
            </w:r>
          </w:p>
        </w:tc>
        <w:tc>
          <w:tcPr>
            <w:tcW w:w="0" w:type="dxa"/>
            <w:vAlign w:val="bottom"/>
          </w:tcPr>
          <w:p>
            <w:pPr>
              <w:spacing w:after="0"/>
              <w:rPr>
                <w:sz w:val="1"/>
                <w:szCs w:val="1"/>
                <w:color w:val="auto"/>
              </w:rPr>
            </w:pPr>
          </w:p>
        </w:tc>
      </w:tr>
      <w:tr>
        <w:trPr>
          <w:trHeight w:val="222"/>
        </w:trPr>
        <w:tc>
          <w:tcPr>
            <w:tcW w:w="92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16"/>
                <w:szCs w:val="16"/>
                <w:b w:val="1"/>
                <w:bCs w:val="1"/>
                <w:color w:val="454546"/>
              </w:rPr>
              <w:t>number</w:t>
            </w:r>
          </w:p>
        </w:tc>
        <w:tc>
          <w:tcPr>
            <w:tcW w:w="200" w:type="dxa"/>
            <w:vAlign w:val="bottom"/>
          </w:tcPr>
          <w:p>
            <w:pPr>
              <w:spacing w:after="0"/>
              <w:rPr>
                <w:sz w:val="19"/>
                <w:szCs w:val="19"/>
                <w:color w:val="auto"/>
              </w:rPr>
            </w:pPr>
          </w:p>
        </w:tc>
        <w:tc>
          <w:tcPr>
            <w:tcW w:w="914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20" w:type="dxa"/>
            <w:vAlign w:val="bottom"/>
          </w:tcPr>
          <w:p>
            <w:pPr>
              <w:ind w:left="280"/>
              <w:spacing w:after="0" w:line="211" w:lineRule="exact"/>
              <w:rPr>
                <w:sz w:val="20"/>
                <w:szCs w:val="20"/>
                <w:color w:val="auto"/>
              </w:rPr>
            </w:pPr>
            <w:r>
              <w:rPr>
                <w:rFonts w:ascii="Times New Roman" w:cs="Times New Roman" w:eastAsia="Times New Roman" w:hAnsi="Times New Roman"/>
                <w:sz w:val="20"/>
                <w:szCs w:val="20"/>
                <w:color w:val="454546"/>
              </w:rPr>
              <w:t>4.8</w:t>
            </w:r>
          </w:p>
        </w:tc>
        <w:tc>
          <w:tcPr>
            <w:tcW w:w="200" w:type="dxa"/>
            <w:vAlign w:val="bottom"/>
          </w:tcPr>
          <w:p>
            <w:pPr>
              <w:spacing w:after="0"/>
              <w:rPr>
                <w:sz w:val="18"/>
                <w:szCs w:val="18"/>
                <w:color w:val="auto"/>
              </w:rPr>
            </w:pPr>
          </w:p>
        </w:tc>
        <w:tc>
          <w:tcPr>
            <w:tcW w:w="914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454546"/>
              </w:rPr>
              <w:t>Form of Pre-Funded Warrant (incorporated by reference to Exhibit 4.1 to the Registrant’s Current Report on</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8-K (File No. 001-39634), filed on May 22, 2024).</w:t>
            </w:r>
          </w:p>
        </w:tc>
        <w:tc>
          <w:tcPr>
            <w:tcW w:w="0" w:type="dxa"/>
            <w:vAlign w:val="bottom"/>
          </w:tcPr>
          <w:p>
            <w:pPr>
              <w:spacing w:after="0"/>
              <w:rPr>
                <w:sz w:val="1"/>
                <w:szCs w:val="1"/>
                <w:color w:val="auto"/>
              </w:rPr>
            </w:pPr>
          </w:p>
        </w:tc>
      </w:tr>
      <w:tr>
        <w:trPr>
          <w:trHeight w:val="378"/>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4.9</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Series Warrant (incorporated by reference to Exhibit 4.1 to the Registrant’s Current Report on Form 8-</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K (File No. 001-39634), filed on January 12, 2026).</w:t>
            </w:r>
          </w:p>
        </w:tc>
        <w:tc>
          <w:tcPr>
            <w:tcW w:w="0" w:type="dxa"/>
            <w:vAlign w:val="bottom"/>
          </w:tcPr>
          <w:p>
            <w:pPr>
              <w:spacing w:after="0"/>
              <w:rPr>
                <w:sz w:val="1"/>
                <w:szCs w:val="1"/>
                <w:color w:val="auto"/>
              </w:rPr>
            </w:pPr>
          </w:p>
        </w:tc>
      </w:tr>
      <w:tr>
        <w:trPr>
          <w:trHeight w:val="380"/>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4.10</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Pre-Funded Warrant (incorporated by reference to Exhibit 4.2 to the Registrant’s Current Report on</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8-K (File No. 001-39634), filed on January 12, 2026).</w:t>
            </w:r>
          </w:p>
        </w:tc>
        <w:tc>
          <w:tcPr>
            <w:tcW w:w="0" w:type="dxa"/>
            <w:vAlign w:val="bottom"/>
          </w:tcPr>
          <w:p>
            <w:pPr>
              <w:spacing w:after="0"/>
              <w:rPr>
                <w:sz w:val="1"/>
                <w:szCs w:val="1"/>
                <w:color w:val="auto"/>
              </w:rPr>
            </w:pPr>
          </w:p>
        </w:tc>
      </w:tr>
      <w:tr>
        <w:trPr>
          <w:trHeight w:val="380"/>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Lease Agreement by and between ARE-Tech Square, LLC and Foghorn Therapeutics Inc., dated October 23,</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2019 (Incorporated by reference to Exhibit 10.2 to the Registrant’s Registration Statement on Form S-1 (File</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No. 333-249264), as amended, filed on October 2,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First Amendment to Lease by and between ARE-Tech Square, LLC and Foghorn Therapeutics Inc. dated June</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29, 2020 (Incorporated by reference to Exhibit 10.1 to the Registrant’s Quarterly Report for the quarter ended</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March 31, 2022 (File No. 001-39634), filed on May 9, 2022.</w:t>
            </w:r>
          </w:p>
        </w:tc>
        <w:tc>
          <w:tcPr>
            <w:tcW w:w="0" w:type="dxa"/>
            <w:vAlign w:val="bottom"/>
          </w:tcPr>
          <w:p>
            <w:pPr>
              <w:spacing w:after="0"/>
              <w:rPr>
                <w:sz w:val="1"/>
                <w:szCs w:val="1"/>
                <w:color w:val="auto"/>
              </w:rPr>
            </w:pPr>
          </w:p>
        </w:tc>
      </w:tr>
      <w:tr>
        <w:trPr>
          <w:trHeight w:val="373"/>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10.3++</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Exclusive Collaboration and License Agreement, by and between Merck Sharp &amp; Dohme Corp. and Foghorn</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Therapeutics Inc., dated as of July 2, 2020 (Incorporated by reference to Exhibit 10.3 to the Registrant’s</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Registration Statement on Form S-1 (File No. 333-249264), as amended, filed on October 2,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10.4^</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Foghorn Therapeutics Inc. 2016 Stock Incentive Plan, as amended (Incorporated by reference to Exhibit 10.4 to</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the Registrant’s Registration Statement on Form S-1 (File No. 333-249264), as amended, filed on October 2,</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10.5^</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Stock Restriction Agreement under the Foghorn Therapeutics Inc. 2016 Stock Incentive Plan</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(Incorporated by reference to Exhibit 10.5 to the Registrant’s Registration Statement on Form S-1 (File No. 333-</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249264), as amended, filed on October 2,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10.6^</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Incentive Stock Option Grant Notice under the Foghorn Therapeutics Inc. 2016 Stock Incentive Plan</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(Incorporated by reference to Exhibit 10.6 to the Registrant’s Registration Statement on Form S-1 (File No. 333-</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249264) filed on October 2,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10.7^</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Non-Qualified Stock Option Grant Notice under the Foghorn Therapeutics Inc. 2016 Stock Incentive</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Plan (Incorporated by reference to Exhibit 10.7 to the Registrant’s Registration Statement on Form S-1 (File No.</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333-249264), as amended, filed on October 2,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10.8</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Indemnification Agreement between Foghorn Therapeutics Inc. and its directors and officers</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(Incorporated by reference to Exhibit 10.8 to the Registrant’s Registration Statement on Form S-1 (File No. 333-</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249264), as amended, filed on October 2,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10.9^</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and Restated Letter Agreement between Foghorn Therapeutics Inc. and Adrian Gottschalk, dated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October 14, 2020 (Incorporated by reference to Exhibit 10.9 to the Registrant’s Registration Statement on Form</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S-1 (File No. 333-249264), as amended, filed on October 19,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10.10^</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Foghorn Therapeutics Inc. 2020 Equity Incentive Plan (Incorporated by reference to Exhibit 10.12 to the</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Registrant’s Registration Statement on Form S-1 (File No. 333-249264), as amended, filed on October 19,</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Incentive Stock Option Agreement under the Foghorn Therapeutics Inc. 2020 Equity Incentive Plan</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(Incorporated by reference to Exhibit 10.13 to the Registrant’s Registration Statement on Form S-1 (File No.</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333-249264), as amended, filed on October 19,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Non-Statutory Stock Option Agreement (Employees) under the Foghorn Therapeutics Inc. 2020 Equity</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Incentive Plan (Incorporated by reference to Exhibit 10.14 to the Registrant’s Registration Statement on Form S-</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1 (File No. 333-249264), as amended, filed on October 19, 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10.13^</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Non-Statutory Stock Option Agreement (Non-Employee Directors) under the Foghorn Therapeutics</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Inc. 2020 Equity Incentive Plan (Incorporated by reference to Exhibit 10.15 to the Registrant’s Registration</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Statement on Form S-1 (File No. 333-249264), as amended, filed on October 19,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760" w:top="62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103</w:t>
      </w:r>
    </w:p>
    <w:p>
      <w:pPr>
        <w:sectPr>
          <w:pgSz w:w="11880" w:h="15480" w:orient="portrait"/>
          <w:cols w:equalWidth="0" w:num="1">
            <w:col w:w="10260"/>
          </w:cols>
          <w:pgMar w:left="760" w:top="627" w:right="860" w:bottom="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200" w:type="dxa"/>
            <w:vAlign w:val="bottom"/>
          </w:tcPr>
          <w:p>
            <w:pPr>
              <w:spacing w:after="0"/>
              <w:rPr>
                <w:sz w:val="16"/>
                <w:szCs w:val="16"/>
                <w:color w:val="auto"/>
              </w:rPr>
            </w:pPr>
          </w:p>
        </w:tc>
        <w:tc>
          <w:tcPr>
            <w:tcW w:w="9140" w:type="dxa"/>
            <w:vAlign w:val="bottom"/>
            <w:vMerge w:val="restart"/>
          </w:tcPr>
          <w:p>
            <w:pPr>
              <w:ind w:left="3720"/>
              <w:spacing w:after="0"/>
              <w:rPr>
                <w:sz w:val="20"/>
                <w:szCs w:val="20"/>
                <w:color w:val="auto"/>
              </w:rPr>
            </w:pPr>
            <w:r>
              <w:rPr>
                <w:rFonts w:ascii="Times New Roman" w:cs="Times New Roman" w:eastAsia="Times New Roman" w:hAnsi="Times New Roman"/>
                <w:sz w:val="16"/>
                <w:szCs w:val="16"/>
                <w:b w:val="1"/>
                <w:bCs w:val="1"/>
                <w:color w:val="454546"/>
              </w:rPr>
              <w:t>Description of document</w:t>
            </w:r>
          </w:p>
        </w:tc>
        <w:tc>
          <w:tcPr>
            <w:tcW w:w="0" w:type="dxa"/>
            <w:vAlign w:val="bottom"/>
          </w:tcPr>
          <w:p>
            <w:pPr>
              <w:spacing w:after="0"/>
              <w:rPr>
                <w:sz w:val="1"/>
                <w:szCs w:val="1"/>
                <w:color w:val="auto"/>
              </w:rPr>
            </w:pPr>
          </w:p>
        </w:tc>
      </w:tr>
      <w:tr>
        <w:trPr>
          <w:trHeight w:val="222"/>
        </w:trPr>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454546"/>
                <w:w w:val="99"/>
              </w:rPr>
              <w:t>number</w:t>
            </w:r>
          </w:p>
        </w:tc>
        <w:tc>
          <w:tcPr>
            <w:tcW w:w="200" w:type="dxa"/>
            <w:vAlign w:val="bottom"/>
          </w:tcPr>
          <w:p>
            <w:pPr>
              <w:spacing w:after="0"/>
              <w:rPr>
                <w:sz w:val="19"/>
                <w:szCs w:val="19"/>
                <w:color w:val="auto"/>
              </w:rPr>
            </w:pPr>
          </w:p>
        </w:tc>
        <w:tc>
          <w:tcPr>
            <w:tcW w:w="914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20" w:type="dxa"/>
            <w:vAlign w:val="bottom"/>
          </w:tcPr>
          <w:p>
            <w:pPr>
              <w:ind w:left="280"/>
              <w:spacing w:after="0" w:line="211" w:lineRule="exact"/>
              <w:rPr>
                <w:sz w:val="20"/>
                <w:szCs w:val="20"/>
                <w:color w:val="auto"/>
              </w:rPr>
            </w:pPr>
            <w:r>
              <w:rPr>
                <w:rFonts w:ascii="Times New Roman" w:cs="Times New Roman" w:eastAsia="Times New Roman" w:hAnsi="Times New Roman"/>
                <w:sz w:val="20"/>
                <w:szCs w:val="20"/>
                <w:color w:val="454546"/>
              </w:rPr>
              <w:t>10.14^</w:t>
            </w:r>
          </w:p>
        </w:tc>
        <w:tc>
          <w:tcPr>
            <w:tcW w:w="200" w:type="dxa"/>
            <w:vAlign w:val="bottom"/>
          </w:tcPr>
          <w:p>
            <w:pPr>
              <w:spacing w:after="0"/>
              <w:rPr>
                <w:sz w:val="18"/>
                <w:szCs w:val="18"/>
                <w:color w:val="auto"/>
              </w:rPr>
            </w:pPr>
          </w:p>
        </w:tc>
        <w:tc>
          <w:tcPr>
            <w:tcW w:w="914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454546"/>
              </w:rPr>
              <w:t>Foghorn Therapeutics Inc. 2020 Employee Stock Purchase Plan (Incorporated by reference to Exhibit 10.16 to</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the Registrant’s Registration Statement on Form S-1 (File No. 333-249264), as amended, filed on October 19,</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2020).</w:t>
            </w:r>
          </w:p>
        </w:tc>
        <w:tc>
          <w:tcPr>
            <w:tcW w:w="0" w:type="dxa"/>
            <w:vAlign w:val="bottom"/>
          </w:tcPr>
          <w:p>
            <w:pPr>
              <w:spacing w:after="0"/>
              <w:rPr>
                <w:sz w:val="1"/>
                <w:szCs w:val="1"/>
                <w:color w:val="auto"/>
              </w:rPr>
            </w:pPr>
          </w:p>
        </w:tc>
      </w:tr>
      <w:tr>
        <w:trPr>
          <w:trHeight w:val="40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10.15^</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Foghorn Therapeutics Inc. 2020 Cash Incentive Plan (Incorporated by reference to Exhibit 10.17 to the</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Registrant’s Registration Statement on Form S-1 (File No. 333-249264), as amended, filed on October 19,</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2020).</w:t>
            </w:r>
          </w:p>
        </w:tc>
        <w:tc>
          <w:tcPr>
            <w:tcW w:w="0" w:type="dxa"/>
            <w:vAlign w:val="bottom"/>
          </w:tcPr>
          <w:p>
            <w:pPr>
              <w:spacing w:after="0"/>
              <w:rPr>
                <w:sz w:val="1"/>
                <w:szCs w:val="1"/>
                <w:color w:val="auto"/>
              </w:rPr>
            </w:pPr>
          </w:p>
        </w:tc>
      </w:tr>
      <w:tr>
        <w:trPr>
          <w:trHeight w:val="442"/>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10.16</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Stock Purchase Agreement by and between Foghorn Therapeutics Inc. and Eli Lilly and Company, dated as of</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December 10, 2021 (Incorporated by reference to Exhibit 10.1 to the Registrant's Current Report on Form 8-K</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(File No. 001-39634), filed on December 13, 2021).</w:t>
            </w:r>
          </w:p>
        </w:tc>
        <w:tc>
          <w:tcPr>
            <w:tcW w:w="0" w:type="dxa"/>
            <w:vAlign w:val="bottom"/>
          </w:tcPr>
          <w:p>
            <w:pPr>
              <w:spacing w:after="0"/>
              <w:rPr>
                <w:sz w:val="1"/>
                <w:szCs w:val="1"/>
                <w:color w:val="auto"/>
              </w:rPr>
            </w:pPr>
          </w:p>
        </w:tc>
      </w:tr>
      <w:tr>
        <w:trPr>
          <w:trHeight w:val="383"/>
        </w:trPr>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454546"/>
              </w:rPr>
              <w:t>10.17++</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Collaboration Agreement between Eli Lilly and Company and Foghorn Therapeutics Inc., dated as of December</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10, 2021 (Incorporated by reference to Exhibit 10.21 to the Registrant's Annual Report on Form 10-K for the</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year ended December 31, 2021 (File No. 001-39634), filed on March 10, 2022).</w:t>
            </w:r>
          </w:p>
        </w:tc>
        <w:tc>
          <w:tcPr>
            <w:tcW w:w="0" w:type="dxa"/>
            <w:vAlign w:val="bottom"/>
          </w:tcPr>
          <w:p>
            <w:pPr>
              <w:spacing w:after="0"/>
              <w:rPr>
                <w:sz w:val="1"/>
                <w:szCs w:val="1"/>
                <w:color w:val="auto"/>
              </w:rPr>
            </w:pPr>
          </w:p>
        </w:tc>
      </w:tr>
      <w:tr>
        <w:trPr>
          <w:trHeight w:val="373"/>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10.18^</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and Restated Letter Agreement between Foghorn Therapeutics Inc. and Steve Bellon, Ph.D., dated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January 26, 2022 (Incorporated by reference to Exhibit 10.23 to the Registrant's Annual Report on Form 10-K</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 the year ended December 31, 2021 (File No. 001-39634), filed on March 10, 2022).</w:t>
            </w:r>
          </w:p>
        </w:tc>
        <w:tc>
          <w:tcPr>
            <w:tcW w:w="0" w:type="dxa"/>
            <w:vAlign w:val="bottom"/>
          </w:tcPr>
          <w:p>
            <w:pPr>
              <w:spacing w:after="0"/>
              <w:rPr>
                <w:sz w:val="1"/>
                <w:szCs w:val="1"/>
                <w:color w:val="auto"/>
              </w:rPr>
            </w:pPr>
          </w:p>
        </w:tc>
      </w:tr>
      <w:tr>
        <w:trPr>
          <w:trHeight w:val="373"/>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10.19^</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and Restated Letter Agreement between Foghorn Therapeutics Inc. and Michael LaCascia, dated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October 29, 2020 (Incorporated by reference to Exhibit 10.25 to the Registrant's Annual Report on Form 10-K</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 the year ended December 31, 2021 (File No. 001-39634), filed on March 10, 2022).</w:t>
            </w:r>
          </w:p>
        </w:tc>
        <w:tc>
          <w:tcPr>
            <w:tcW w:w="0" w:type="dxa"/>
            <w:vAlign w:val="bottom"/>
          </w:tcPr>
          <w:p>
            <w:pPr>
              <w:spacing w:after="0"/>
              <w:rPr>
                <w:sz w:val="1"/>
                <w:szCs w:val="1"/>
                <w:color w:val="auto"/>
              </w:rPr>
            </w:pPr>
          </w:p>
        </w:tc>
      </w:tr>
      <w:tr>
        <w:trPr>
          <w:trHeight w:val="373"/>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10.20^</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Employee Non-Competition, Non-Solicitation, Confidentiality and Assignment Agreement for use</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between Foghorn Therapeutics Inc. and its executive officers, updated July 2022 (Incorporated by reference to</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Exhibit 10.2 to the Registrant's Quarterly Report on Form 10-Q for the quarter ended June 30, 2022 (File No.</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001-39634), filed on August 9, 2022).</w:t>
            </w:r>
          </w:p>
        </w:tc>
        <w:tc>
          <w:tcPr>
            <w:tcW w:w="0" w:type="dxa"/>
            <w:vAlign w:val="bottom"/>
          </w:tcPr>
          <w:p>
            <w:pPr>
              <w:spacing w:after="0"/>
              <w:rPr>
                <w:sz w:val="1"/>
                <w:szCs w:val="1"/>
                <w:color w:val="auto"/>
              </w:rPr>
            </w:pPr>
          </w:p>
        </w:tc>
      </w:tr>
      <w:tr>
        <w:trPr>
          <w:trHeight w:val="385"/>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Amended and Restated Letter Agreement between Foghorn Therapeutics Inc. and Carlos Costa, dated July 15,</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2022 (Incorporated by reference to Exhibit 10.1 to the Registrant’s Quarterly Report on Form 10-Q for the</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quarter ended June 30, 2022 (File No. 001-39634), filed on August 9, 2022).</w:t>
            </w:r>
          </w:p>
        </w:tc>
        <w:tc>
          <w:tcPr>
            <w:tcW w:w="0" w:type="dxa"/>
            <w:vAlign w:val="bottom"/>
          </w:tcPr>
          <w:p>
            <w:pPr>
              <w:spacing w:after="0"/>
              <w:rPr>
                <w:sz w:val="1"/>
                <w:szCs w:val="1"/>
                <w:color w:val="auto"/>
              </w:rPr>
            </w:pPr>
          </w:p>
        </w:tc>
      </w:tr>
      <w:tr>
        <w:trPr>
          <w:trHeight w:val="378"/>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Letter Agreement between Foghorn Therapeutics Inc. and Alfonso Quintás Cardama, M.D., dated August 4,</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2023 (Incorporated by reference to Exhibit 10.1 to the Registrant’s Quarterly Report on Form 10-Q for the</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quarter ended September 30, 2023 (File No. 001-39634), filed on November 2, 2023).</w:t>
            </w:r>
          </w:p>
        </w:tc>
        <w:tc>
          <w:tcPr>
            <w:tcW w:w="0" w:type="dxa"/>
            <w:vAlign w:val="bottom"/>
          </w:tcPr>
          <w:p>
            <w:pPr>
              <w:spacing w:after="0"/>
              <w:rPr>
                <w:sz w:val="1"/>
                <w:szCs w:val="1"/>
                <w:color w:val="auto"/>
              </w:rPr>
            </w:pPr>
          </w:p>
        </w:tc>
      </w:tr>
      <w:tr>
        <w:trPr>
          <w:trHeight w:val="371"/>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10.23^</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Letter Agreement between Foghorn Therapeutics Inc. and Kristian Humer, dated April 16, 2024 (Incorporated</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by reference to Exhibit 10.1 to the Registrant’s Current Report on Form 8-K (File No. 001-39634), filed on April</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16, 2024).</w:t>
            </w:r>
          </w:p>
        </w:tc>
        <w:tc>
          <w:tcPr>
            <w:tcW w:w="0" w:type="dxa"/>
            <w:vAlign w:val="bottom"/>
          </w:tcPr>
          <w:p>
            <w:pPr>
              <w:spacing w:after="0"/>
              <w:rPr>
                <w:sz w:val="1"/>
                <w:szCs w:val="1"/>
                <w:color w:val="auto"/>
              </w:rPr>
            </w:pPr>
          </w:p>
        </w:tc>
      </w:tr>
      <w:tr>
        <w:trPr>
          <w:trHeight w:val="375"/>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10.24^</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Letter Agreement between Foghorn Therapeutics Inc. and Anna Rivkin, dated July 18, 2024 (Incorporated by</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reference to Exhibit 10.1 to the Registrant’s Quarterly Report on Form 10-Q for the quarter ended September 30,</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2024 (File No. 001-39634), filed on November 4, 2024).</w:t>
            </w:r>
          </w:p>
        </w:tc>
        <w:tc>
          <w:tcPr>
            <w:tcW w:w="0" w:type="dxa"/>
            <w:vAlign w:val="bottom"/>
          </w:tcPr>
          <w:p>
            <w:pPr>
              <w:spacing w:after="0"/>
              <w:rPr>
                <w:sz w:val="1"/>
                <w:szCs w:val="1"/>
                <w:color w:val="auto"/>
              </w:rPr>
            </w:pPr>
          </w:p>
        </w:tc>
      </w:tr>
      <w:tr>
        <w:trPr>
          <w:trHeight w:val="397"/>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10.25^</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Letter Agreement between Foghorn Therapeutics Inc. and Ryan Maynard, dated February 17, 2026</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(Incorporated by reference to Exhibit 10.1 to the Registrant’s Current Report on Form 8-K (File No. 001-</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39634), filed on February 23, 2026).</w:t>
            </w:r>
          </w:p>
        </w:tc>
        <w:tc>
          <w:tcPr>
            <w:tcW w:w="0" w:type="dxa"/>
            <w:vAlign w:val="bottom"/>
          </w:tcPr>
          <w:p>
            <w:pPr>
              <w:spacing w:after="0"/>
              <w:rPr>
                <w:sz w:val="1"/>
                <w:szCs w:val="1"/>
                <w:color w:val="auto"/>
              </w:rPr>
            </w:pPr>
          </w:p>
        </w:tc>
      </w:tr>
      <w:tr>
        <w:trPr>
          <w:trHeight w:val="407"/>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10.26</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Lease Agreement, by and between Foghorn Therapeutics Inc. and ARE-MA Region No. 77, LLC, dated June 27,</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2025 (incorporated by reference to Exhibit 10.1 to the Registrant’s Current Report on Form 8-K (File No. 001-</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39634), filed on July 1, 2025).</w:t>
            </w:r>
          </w:p>
        </w:tc>
        <w:tc>
          <w:tcPr>
            <w:tcW w:w="0" w:type="dxa"/>
            <w:vAlign w:val="bottom"/>
          </w:tcPr>
          <w:p>
            <w:pPr>
              <w:spacing w:after="0"/>
              <w:rPr>
                <w:sz w:val="1"/>
                <w:szCs w:val="1"/>
                <w:color w:val="auto"/>
              </w:rPr>
            </w:pPr>
          </w:p>
        </w:tc>
      </w:tr>
      <w:tr>
        <w:trPr>
          <w:trHeight w:val="419"/>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10.27</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Lease Termination Agreement and Voluntary Surrender of Premises, by and between Foghorn Therapeutics Inc.</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202" w:lineRule="exact"/>
              <w:rPr>
                <w:sz w:val="20"/>
                <w:szCs w:val="20"/>
                <w:color w:val="auto"/>
              </w:rPr>
            </w:pPr>
            <w:r>
              <w:rPr>
                <w:rFonts w:ascii="Times New Roman" w:cs="Times New Roman" w:eastAsia="Times New Roman" w:hAnsi="Times New Roman"/>
                <w:sz w:val="20"/>
                <w:szCs w:val="20"/>
                <w:color w:val="454546"/>
              </w:rPr>
              <w:t>and ARE-Tech Square, LLC, dated June 27, 2025 (incorporated by reference to Exhibit 10.2 to the Registrant’s</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Current Report on Form 8-K (File No. 001-39634), filed on July 1, 2025).</w:t>
            </w:r>
          </w:p>
        </w:tc>
        <w:tc>
          <w:tcPr>
            <w:tcW w:w="0" w:type="dxa"/>
            <w:vAlign w:val="bottom"/>
          </w:tcPr>
          <w:p>
            <w:pPr>
              <w:spacing w:after="0"/>
              <w:rPr>
                <w:sz w:val="1"/>
                <w:szCs w:val="1"/>
                <w:color w:val="auto"/>
              </w:rPr>
            </w:pPr>
          </w:p>
        </w:tc>
      </w:tr>
      <w:tr>
        <w:trPr>
          <w:trHeight w:val="419"/>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10.28</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Form of Securities Purchase Agreement between the Company and the Investors, dated January 9, 2026,</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incorporated by reference to Exhibit 99.3 to the Registrant’s Current Report on Form 8-K (File No. 001-39634),</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filed on January 12,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760" w:top="62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104</w:t>
      </w:r>
    </w:p>
    <w:p>
      <w:pPr>
        <w:sectPr>
          <w:pgSz w:w="11880" w:h="15480" w:orient="portrait"/>
          <w:cols w:equalWidth="0" w:num="1">
            <w:col w:w="10260"/>
          </w:cols>
          <w:pgMar w:left="760" w:top="627" w:right="86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454546"/>
              </w:rPr>
              <w:t>Exhibit</w:t>
            </w:r>
          </w:p>
        </w:tc>
        <w:tc>
          <w:tcPr>
            <w:tcW w:w="200" w:type="dxa"/>
            <w:vAlign w:val="bottom"/>
          </w:tcPr>
          <w:p>
            <w:pPr>
              <w:spacing w:after="0"/>
              <w:rPr>
                <w:sz w:val="16"/>
                <w:szCs w:val="16"/>
                <w:color w:val="auto"/>
              </w:rPr>
            </w:pPr>
          </w:p>
        </w:tc>
        <w:tc>
          <w:tcPr>
            <w:tcW w:w="9140" w:type="dxa"/>
            <w:vAlign w:val="bottom"/>
            <w:vMerge w:val="restart"/>
          </w:tcPr>
          <w:p>
            <w:pPr>
              <w:ind w:left="3720"/>
              <w:spacing w:after="0"/>
              <w:rPr>
                <w:sz w:val="20"/>
                <w:szCs w:val="20"/>
                <w:color w:val="auto"/>
              </w:rPr>
            </w:pPr>
            <w:r>
              <w:rPr>
                <w:rFonts w:ascii="Times New Roman" w:cs="Times New Roman" w:eastAsia="Times New Roman" w:hAnsi="Times New Roman"/>
                <w:sz w:val="16"/>
                <w:szCs w:val="16"/>
                <w:b w:val="1"/>
                <w:bCs w:val="1"/>
                <w:color w:val="454546"/>
              </w:rPr>
              <w:t>Description of document</w:t>
            </w:r>
          </w:p>
        </w:tc>
        <w:tc>
          <w:tcPr>
            <w:tcW w:w="0" w:type="dxa"/>
            <w:vAlign w:val="bottom"/>
          </w:tcPr>
          <w:p>
            <w:pPr>
              <w:spacing w:after="0"/>
              <w:rPr>
                <w:sz w:val="1"/>
                <w:szCs w:val="1"/>
                <w:color w:val="auto"/>
              </w:rPr>
            </w:pPr>
          </w:p>
        </w:tc>
      </w:tr>
      <w:tr>
        <w:trPr>
          <w:trHeight w:val="222"/>
        </w:trPr>
        <w:tc>
          <w:tcPr>
            <w:tcW w:w="92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16"/>
                <w:szCs w:val="16"/>
                <w:b w:val="1"/>
                <w:bCs w:val="1"/>
                <w:color w:val="454546"/>
              </w:rPr>
              <w:t>number</w:t>
            </w:r>
          </w:p>
        </w:tc>
        <w:tc>
          <w:tcPr>
            <w:tcW w:w="200" w:type="dxa"/>
            <w:vAlign w:val="bottom"/>
          </w:tcPr>
          <w:p>
            <w:pPr>
              <w:spacing w:after="0"/>
              <w:rPr>
                <w:sz w:val="19"/>
                <w:szCs w:val="19"/>
                <w:color w:val="auto"/>
              </w:rPr>
            </w:pPr>
          </w:p>
        </w:tc>
        <w:tc>
          <w:tcPr>
            <w:tcW w:w="914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20" w:type="dxa"/>
            <w:vAlign w:val="bottom"/>
          </w:tcPr>
          <w:p>
            <w:pPr>
              <w:ind w:left="280"/>
              <w:spacing w:after="0" w:line="211" w:lineRule="exact"/>
              <w:rPr>
                <w:sz w:val="20"/>
                <w:szCs w:val="20"/>
                <w:color w:val="auto"/>
              </w:rPr>
            </w:pPr>
            <w:r>
              <w:rPr>
                <w:rFonts w:ascii="Times New Roman" w:cs="Times New Roman" w:eastAsia="Times New Roman" w:hAnsi="Times New Roman"/>
                <w:sz w:val="20"/>
                <w:szCs w:val="20"/>
                <w:color w:val="454546"/>
              </w:rPr>
              <w:t>19.1</w:t>
            </w:r>
          </w:p>
        </w:tc>
        <w:tc>
          <w:tcPr>
            <w:tcW w:w="200" w:type="dxa"/>
            <w:vAlign w:val="bottom"/>
          </w:tcPr>
          <w:p>
            <w:pPr>
              <w:spacing w:after="0"/>
              <w:rPr>
                <w:sz w:val="18"/>
                <w:szCs w:val="18"/>
                <w:color w:val="auto"/>
              </w:rPr>
            </w:pPr>
          </w:p>
        </w:tc>
        <w:tc>
          <w:tcPr>
            <w:tcW w:w="9140" w:type="dxa"/>
            <w:vAlign w:val="bottom"/>
          </w:tcPr>
          <w:p>
            <w:pPr>
              <w:ind w:left="60"/>
              <w:spacing w:after="0" w:line="211" w:lineRule="exact"/>
              <w:rPr>
                <w:sz w:val="20"/>
                <w:szCs w:val="20"/>
                <w:color w:val="auto"/>
              </w:rPr>
            </w:pPr>
            <w:r>
              <w:rPr>
                <w:rFonts w:ascii="Times New Roman" w:cs="Times New Roman" w:eastAsia="Times New Roman" w:hAnsi="Times New Roman"/>
                <w:sz w:val="20"/>
                <w:szCs w:val="20"/>
                <w:color w:val="454546"/>
              </w:rPr>
              <w:t>Foghorn Therapeutics Inc. Insider Trading Policy (incorporated by reference to Exhibit 19.1 to the Registrant’s</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454546"/>
              </w:rPr>
              <w:t>Annual Report on Form 10-K for the year ended December 31, 2024 (File No. 001-39634), filed on March 6,</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93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454546"/>
              </w:rPr>
              <w:t>2025).</w:t>
            </w:r>
          </w:p>
        </w:tc>
        <w:tc>
          <w:tcPr>
            <w:tcW w:w="0" w:type="dxa"/>
            <w:vAlign w:val="bottom"/>
          </w:tcPr>
          <w:p>
            <w:pPr>
              <w:spacing w:after="0"/>
              <w:rPr>
                <w:sz w:val="1"/>
                <w:szCs w:val="1"/>
                <w:color w:val="auto"/>
              </w:rPr>
            </w:pPr>
          </w:p>
        </w:tc>
      </w:tr>
      <w:tr>
        <w:trPr>
          <w:trHeight w:val="344"/>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21.1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List of Subsidiaries of Foghorn Therapeutics Inc. (Incorporated by reference to Exhibit 21.1 to the Registrant’s</w:t>
            </w:r>
          </w:p>
        </w:tc>
        <w:tc>
          <w:tcPr>
            <w:tcW w:w="0" w:type="dxa"/>
            <w:vAlign w:val="bottom"/>
          </w:tcPr>
          <w:p>
            <w:pPr>
              <w:spacing w:after="0"/>
              <w:rPr>
                <w:sz w:val="1"/>
                <w:szCs w:val="1"/>
                <w:color w:val="auto"/>
              </w:rPr>
            </w:pPr>
          </w:p>
        </w:tc>
      </w:tr>
      <w:tr>
        <w:trPr>
          <w:trHeight w:val="265"/>
        </w:trPr>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Registration Statement on Form S-1 (File No. 333-249264), as amended, filed on October 2, 2020).</w:t>
            </w:r>
          </w:p>
        </w:tc>
        <w:tc>
          <w:tcPr>
            <w:tcW w:w="0" w:type="dxa"/>
            <w:vAlign w:val="bottom"/>
          </w:tcPr>
          <w:p>
            <w:pPr>
              <w:spacing w:after="0"/>
              <w:rPr>
                <w:sz w:val="1"/>
                <w:szCs w:val="1"/>
                <w:color w:val="auto"/>
              </w:rPr>
            </w:pPr>
          </w:p>
        </w:tc>
      </w:tr>
      <w:tr>
        <w:trPr>
          <w:trHeight w:val="426"/>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23.1*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Consent of Deloitte &amp; Touche LLP</w:t>
            </w:r>
          </w:p>
        </w:tc>
        <w:tc>
          <w:tcPr>
            <w:tcW w:w="0" w:type="dxa"/>
            <w:vAlign w:val="bottom"/>
          </w:tcPr>
          <w:p>
            <w:pPr>
              <w:spacing w:after="0"/>
              <w:rPr>
                <w:sz w:val="1"/>
                <w:szCs w:val="1"/>
                <w:color w:val="auto"/>
              </w:rPr>
            </w:pPr>
          </w:p>
        </w:tc>
      </w:tr>
      <w:tr>
        <w:trPr>
          <w:trHeight w:val="463"/>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31.1*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Rule 13a—14(a) / 15d—14(a) Certification—Principal Executive Officer.</w:t>
            </w:r>
          </w:p>
        </w:tc>
        <w:tc>
          <w:tcPr>
            <w:tcW w:w="0" w:type="dxa"/>
            <w:vAlign w:val="bottom"/>
          </w:tcPr>
          <w:p>
            <w:pPr>
              <w:spacing w:after="0"/>
              <w:rPr>
                <w:sz w:val="1"/>
                <w:szCs w:val="1"/>
                <w:color w:val="auto"/>
              </w:rPr>
            </w:pPr>
          </w:p>
        </w:tc>
      </w:tr>
      <w:tr>
        <w:trPr>
          <w:trHeight w:val="466"/>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31.2*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Rule 13a—14(a) / 15d—14(a) Certification—Principal Financial Officer.</w:t>
            </w:r>
          </w:p>
        </w:tc>
        <w:tc>
          <w:tcPr>
            <w:tcW w:w="0" w:type="dxa"/>
            <w:vAlign w:val="bottom"/>
          </w:tcPr>
          <w:p>
            <w:pPr>
              <w:spacing w:after="0"/>
              <w:rPr>
                <w:sz w:val="1"/>
                <w:szCs w:val="1"/>
                <w:color w:val="auto"/>
              </w:rPr>
            </w:pPr>
          </w:p>
        </w:tc>
      </w:tr>
      <w:tr>
        <w:trPr>
          <w:trHeight w:val="466"/>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32.1**</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Section 1350 Certification—Principal Executive Officer.</w:t>
            </w:r>
          </w:p>
        </w:tc>
        <w:tc>
          <w:tcPr>
            <w:tcW w:w="0" w:type="dxa"/>
            <w:vAlign w:val="bottom"/>
          </w:tcPr>
          <w:p>
            <w:pPr>
              <w:spacing w:after="0"/>
              <w:rPr>
                <w:sz w:val="1"/>
                <w:szCs w:val="1"/>
                <w:color w:val="auto"/>
              </w:rPr>
            </w:pPr>
          </w:p>
        </w:tc>
      </w:tr>
      <w:tr>
        <w:trPr>
          <w:trHeight w:val="466"/>
        </w:trPr>
        <w:tc>
          <w:tcPr>
            <w:tcW w:w="920" w:type="dxa"/>
            <w:vAlign w:val="bottom"/>
          </w:tcPr>
          <w:p>
            <w:pPr>
              <w:ind w:left="280"/>
              <w:spacing w:after="0"/>
              <w:rPr>
                <w:sz w:val="20"/>
                <w:szCs w:val="20"/>
                <w:color w:val="auto"/>
              </w:rPr>
            </w:pPr>
            <w:r>
              <w:rPr>
                <w:rFonts w:ascii="Times New Roman" w:cs="Times New Roman" w:eastAsia="Times New Roman" w:hAnsi="Times New Roman"/>
                <w:sz w:val="20"/>
                <w:szCs w:val="20"/>
                <w:color w:val="454546"/>
              </w:rPr>
              <w:t>32.2**</w:t>
            </w:r>
          </w:p>
        </w:tc>
        <w:tc>
          <w:tcPr>
            <w:tcW w:w="200" w:type="dxa"/>
            <w:vAlign w:val="bottom"/>
          </w:tcPr>
          <w:p>
            <w:pPr>
              <w:spacing w:after="0"/>
              <w:rPr>
                <w:sz w:val="24"/>
                <w:szCs w:val="24"/>
                <w:color w:val="auto"/>
              </w:rPr>
            </w:pPr>
          </w:p>
        </w:tc>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454546"/>
              </w:rPr>
              <w:t>Section 1350 Certification—Principal Financial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180" w:right="440" w:hanging="903"/>
        <w:spacing w:after="0" w:line="231" w:lineRule="auto"/>
        <w:tabs>
          <w:tab w:leader="none" w:pos="1180" w:val="left"/>
        </w:tabs>
        <w:numPr>
          <w:ilvl w:val="0"/>
          <w:numId w:val="43"/>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Foghorn Therapeutics Inc. Policy for Recoupment of Incentive Compensation (Incorporated by reference to Exhibit 97 to the Registrant's Annual Report on Form 10-K for the year ended December 31, 2023 (File No. 001-39634), filed on March 7, 2024).</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454546"/>
                <w:w w:val="94"/>
              </w:rPr>
              <w:t>101*</w:t>
            </w:r>
          </w:p>
        </w:tc>
        <w:tc>
          <w:tcPr>
            <w:tcW w:w="9280" w:type="dxa"/>
            <w:vAlign w:val="bottom"/>
          </w:tcPr>
          <w:p>
            <w:pPr>
              <w:ind w:left="300"/>
              <w:spacing w:after="0"/>
              <w:rPr>
                <w:sz w:val="20"/>
                <w:szCs w:val="20"/>
                <w:color w:val="auto"/>
              </w:rPr>
            </w:pPr>
            <w:r>
              <w:rPr>
                <w:rFonts w:ascii="Times New Roman" w:cs="Times New Roman" w:eastAsia="Times New Roman" w:hAnsi="Times New Roman"/>
                <w:sz w:val="20"/>
                <w:szCs w:val="20"/>
                <w:color w:val="454546"/>
              </w:rPr>
              <w:t>Financial statements from the Annual Report on Form 10-K of the Company as of and for the period ended</w:t>
            </w:r>
          </w:p>
        </w:tc>
      </w:tr>
      <w:tr>
        <w:trPr>
          <w:trHeight w:val="199"/>
        </w:trPr>
        <w:tc>
          <w:tcPr>
            <w:tcW w:w="700" w:type="dxa"/>
            <w:vAlign w:val="bottom"/>
          </w:tcPr>
          <w:p>
            <w:pPr>
              <w:spacing w:after="0"/>
              <w:rPr>
                <w:sz w:val="17"/>
                <w:szCs w:val="17"/>
                <w:color w:val="auto"/>
              </w:rPr>
            </w:pPr>
          </w:p>
        </w:tc>
        <w:tc>
          <w:tcPr>
            <w:tcW w:w="9280" w:type="dxa"/>
            <w:vAlign w:val="bottom"/>
          </w:tcPr>
          <w:p>
            <w:pPr>
              <w:ind w:left="300"/>
              <w:spacing w:after="0" w:line="199" w:lineRule="exact"/>
              <w:rPr>
                <w:sz w:val="20"/>
                <w:szCs w:val="20"/>
                <w:color w:val="auto"/>
              </w:rPr>
            </w:pPr>
            <w:r>
              <w:rPr>
                <w:rFonts w:ascii="Times New Roman" w:cs="Times New Roman" w:eastAsia="Times New Roman" w:hAnsi="Times New Roman"/>
                <w:sz w:val="20"/>
                <w:szCs w:val="20"/>
                <w:color w:val="454546"/>
              </w:rPr>
              <w:t>December 31, 2025, formatted in Extensible Business Reporting Language (XBRL): (i) Balance Sheets; (ii)</w:t>
            </w:r>
          </w:p>
        </w:tc>
      </w:tr>
      <w:tr>
        <w:trPr>
          <w:trHeight w:val="223"/>
        </w:trPr>
        <w:tc>
          <w:tcPr>
            <w:tcW w:w="700" w:type="dxa"/>
            <w:vAlign w:val="bottom"/>
          </w:tcPr>
          <w:p>
            <w:pPr>
              <w:spacing w:after="0"/>
              <w:rPr>
                <w:sz w:val="19"/>
                <w:szCs w:val="19"/>
                <w:color w:val="auto"/>
              </w:rPr>
            </w:pPr>
          </w:p>
        </w:tc>
        <w:tc>
          <w:tcPr>
            <w:tcW w:w="9280" w:type="dxa"/>
            <w:vAlign w:val="bottom"/>
          </w:tcPr>
          <w:p>
            <w:pPr>
              <w:ind w:left="300"/>
              <w:spacing w:after="0" w:line="224" w:lineRule="exact"/>
              <w:rPr>
                <w:sz w:val="20"/>
                <w:szCs w:val="20"/>
                <w:color w:val="auto"/>
              </w:rPr>
            </w:pPr>
            <w:r>
              <w:rPr>
                <w:rFonts w:ascii="Times New Roman" w:cs="Times New Roman" w:eastAsia="Times New Roman" w:hAnsi="Times New Roman"/>
                <w:sz w:val="20"/>
                <w:szCs w:val="20"/>
                <w:color w:val="454546"/>
                <w:w w:val="99"/>
              </w:rPr>
              <w:t>Statements of Operations; (iii) Statements of Changes in Redeemable Preferred Stock and Stockholders’ Equity;</w:t>
            </w:r>
          </w:p>
        </w:tc>
      </w:tr>
    </w:tbl>
    <w:p>
      <w:pPr>
        <w:ind w:left="1520" w:hanging="346"/>
        <w:spacing w:after="0"/>
        <w:tabs>
          <w:tab w:leader="none" w:pos="1520" w:val="left"/>
        </w:tabs>
        <w:numPr>
          <w:ilvl w:val="1"/>
          <w:numId w:val="4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Statements of Cash Flows; and (v) Notes to Financial Statements.</w:t>
      </w:r>
    </w:p>
    <w:p>
      <w:pPr>
        <w:spacing w:after="0" w:line="188" w:lineRule="exact"/>
        <w:rPr>
          <w:rFonts w:ascii="Times New Roman" w:cs="Times New Roman" w:eastAsia="Times New Roman" w:hAnsi="Times New Roman"/>
          <w:sz w:val="20"/>
          <w:szCs w:val="20"/>
          <w:color w:val="454546"/>
        </w:rPr>
      </w:pPr>
    </w:p>
    <w:p>
      <w:pPr>
        <w:ind w:left="780" w:hanging="549"/>
        <w:spacing w:after="0"/>
        <w:tabs>
          <w:tab w:leader="none" w:pos="780" w:val="left"/>
        </w:tabs>
        <w:numPr>
          <w:ilvl w:val="0"/>
          <w:numId w:val="44"/>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Filed herewith</w:t>
      </w:r>
    </w:p>
    <w:p>
      <w:pPr>
        <w:spacing w:after="0" w:line="35" w:lineRule="exact"/>
        <w:rPr>
          <w:rFonts w:ascii="Times New Roman" w:cs="Times New Roman" w:eastAsia="Times New Roman" w:hAnsi="Times New Roman"/>
          <w:sz w:val="20"/>
          <w:szCs w:val="20"/>
          <w:color w:val="454546"/>
        </w:rPr>
      </w:pPr>
    </w:p>
    <w:p>
      <w:pPr>
        <w:ind w:left="780" w:hanging="549"/>
        <w:spacing w:after="0"/>
        <w:tabs>
          <w:tab w:leader="none" w:pos="780" w:val="left"/>
        </w:tabs>
        <w:numPr>
          <w:ilvl w:val="0"/>
          <w:numId w:val="45"/>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Furnished herewith</w:t>
      </w:r>
    </w:p>
    <w:p>
      <w:pPr>
        <w:spacing w:after="0" w:line="10" w:lineRule="exact"/>
        <w:rPr>
          <w:sz w:val="20"/>
          <w:szCs w:val="20"/>
          <w:color w:val="auto"/>
        </w:rPr>
      </w:pPr>
    </w:p>
    <w:p>
      <w:pPr>
        <w:ind w:left="780" w:hanging="549"/>
        <w:spacing w:after="0"/>
        <w:tabs>
          <w:tab w:leader="none" w:pos="780" w:val="left"/>
        </w:tabs>
        <w:numPr>
          <w:ilvl w:val="0"/>
          <w:numId w:val="46"/>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Indicates management contract or compensatory plan, contract or arrangement.</w:t>
      </w:r>
    </w:p>
    <w:p>
      <w:pPr>
        <w:spacing w:after="0" w:line="10" w:lineRule="exact"/>
        <w:rPr>
          <w:sz w:val="20"/>
          <w:szCs w:val="20"/>
          <w:color w:val="auto"/>
        </w:rPr>
      </w:pPr>
    </w:p>
    <w:p>
      <w:pPr>
        <w:ind w:left="780" w:right="120" w:hanging="549"/>
        <w:spacing w:after="0" w:line="260" w:lineRule="auto"/>
        <w:tabs>
          <w:tab w:leader="none" w:pos="780" w:val="left"/>
        </w:tabs>
        <w:numPr>
          <w:ilvl w:val="0"/>
          <w:numId w:val="47"/>
        </w:numPr>
        <w:rPr>
          <w:rFonts w:ascii="Times New Roman" w:cs="Times New Roman" w:eastAsia="Times New Roman" w:hAnsi="Times New Roman"/>
          <w:sz w:val="20"/>
          <w:szCs w:val="20"/>
          <w:color w:val="454546"/>
        </w:rPr>
      </w:pPr>
      <w:r>
        <w:rPr>
          <w:rFonts w:ascii="Times New Roman" w:cs="Times New Roman" w:eastAsia="Times New Roman" w:hAnsi="Times New Roman"/>
          <w:sz w:val="20"/>
          <w:szCs w:val="20"/>
          <w:color w:val="454546"/>
        </w:rPr>
        <w:t>Portions of this exhibit (indicated by asterisks) have been omitted because the Registrant has determined they are not material and would likely cause competitive harm to the Registrant if publicly disclosed.</w:t>
      </w:r>
    </w:p>
    <w:p>
      <w:pPr>
        <w:sectPr>
          <w:pgSz w:w="11880" w:h="15480" w:orient="portrait"/>
          <w:cols w:equalWidth="0" w:num="1">
            <w:col w:w="10260"/>
          </w:cols>
          <w:pgMar w:left="760" w:top="62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454546"/>
        </w:rPr>
        <w:t>105</w:t>
      </w:r>
    </w:p>
    <w:p>
      <w:pPr>
        <w:sectPr>
          <w:pgSz w:w="11880" w:h="15480" w:orient="portrait"/>
          <w:cols w:equalWidth="0" w:num="1">
            <w:col w:w="10260"/>
          </w:cols>
          <w:pgMar w:left="760" w:top="627" w:right="86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454546"/>
        </w:rPr>
        <w:t>SIGNATURES</w:t>
      </w:r>
    </w:p>
    <w:p>
      <w:pPr>
        <w:spacing w:after="0" w:line="254" w:lineRule="exact"/>
        <w:rPr>
          <w:sz w:val="20"/>
          <w:szCs w:val="20"/>
          <w:color w:val="auto"/>
        </w:rPr>
      </w:pPr>
    </w:p>
    <w:p>
      <w:pPr>
        <w:ind w:firstLine="494"/>
        <w:spacing w:after="0" w:line="290" w:lineRule="auto"/>
        <w:rPr>
          <w:sz w:val="20"/>
          <w:szCs w:val="20"/>
          <w:color w:val="auto"/>
        </w:rPr>
      </w:pPr>
      <w:r>
        <w:rPr>
          <w:rFonts w:ascii="Times New Roman" w:cs="Times New Roman" w:eastAsia="Times New Roman" w:hAnsi="Times New Roman"/>
          <w:sz w:val="20"/>
          <w:szCs w:val="20"/>
          <w:color w:val="454546"/>
        </w:rPr>
        <w:t>Pursuant to the requirements of Section 13 or 15(d) of the Securities Exchange Act of 1934, the registrant has duly caused this report to be signed on its behalf by the undersigned, thereunto duly authorized.</w:t>
      </w:r>
    </w:p>
    <w:p>
      <w:pPr>
        <w:spacing w:after="0" w:line="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454546"/>
        </w:rPr>
        <w:t>FOGHORN THERAPEUTICS INC.</w:t>
      </w:r>
    </w:p>
    <w:p>
      <w:pPr>
        <w:spacing w:after="0" w:line="360" w:lineRule="exact"/>
        <w:rPr>
          <w:sz w:val="20"/>
          <w:szCs w:val="20"/>
          <w:color w:val="auto"/>
        </w:rPr>
      </w:pPr>
    </w:p>
    <w:p>
      <w:pPr>
        <w:ind w:left="40"/>
        <w:spacing w:after="0"/>
        <w:tabs>
          <w:tab w:leader="none" w:pos="4880" w:val="left"/>
          <w:tab w:leader="none" w:pos="5340" w:val="left"/>
        </w:tabs>
        <w:rPr>
          <w:sz w:val="20"/>
          <w:szCs w:val="20"/>
          <w:color w:val="auto"/>
        </w:rPr>
      </w:pPr>
      <w:r>
        <w:rPr>
          <w:rFonts w:ascii="Times New Roman" w:cs="Times New Roman" w:eastAsia="Times New Roman" w:hAnsi="Times New Roman"/>
          <w:sz w:val="20"/>
          <w:szCs w:val="20"/>
          <w:color w:val="454546"/>
        </w:rPr>
        <w:t>Date: March 11, 2026</w:t>
      </w:r>
      <w:r>
        <w:rPr>
          <w:sz w:val="20"/>
          <w:szCs w:val="20"/>
          <w:color w:val="auto"/>
        </w:rPr>
        <w:tab/>
      </w:r>
      <w:r>
        <w:rPr>
          <w:rFonts w:ascii="Times New Roman" w:cs="Times New Roman" w:eastAsia="Times New Roman" w:hAnsi="Times New Roman"/>
          <w:sz w:val="20"/>
          <w:szCs w:val="20"/>
          <w:color w:val="454546"/>
        </w:rPr>
        <w:t>By:</w:t>
        <w:tab/>
        <w:t>/s/ Ryan Maynard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3375660</wp:posOffset>
                </wp:positionH>
                <wp:positionV relativeFrom="paragraph">
                  <wp:posOffset>37465</wp:posOffset>
                </wp:positionV>
                <wp:extent cx="31242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4200" cy="4763"/>
                        </a:xfrm>
                        <a:prstGeom prst="line">
                          <a:avLst/>
                        </a:prstGeom>
                        <a:solidFill>
                          <a:srgbClr val="FFFFFF"/>
                        </a:solidFill>
                        <a:ln w="12178">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8pt,2.95pt" to="511.8pt,2.95pt" o:allowincell="f" strokecolor="#231F20" strokeweight="0.9589pt"/>
            </w:pict>
          </mc:Fallback>
        </mc:AlternateContent>
      </w:r>
    </w:p>
    <w:p>
      <w:pPr>
        <w:spacing w:after="0" w:line="3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454546"/>
        </w:rPr>
        <w:t>Ryan Maynard</w:t>
      </w:r>
    </w:p>
    <w:p>
      <w:pPr>
        <w:spacing w:after="0" w:line="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454546"/>
        </w:rPr>
        <w:t>Chief Financial Officer</w:t>
      </w:r>
    </w:p>
    <w:p>
      <w:pPr>
        <w:ind w:left="5360"/>
        <w:spacing w:after="0"/>
        <w:rPr>
          <w:sz w:val="20"/>
          <w:szCs w:val="20"/>
          <w:color w:val="auto"/>
        </w:rPr>
      </w:pPr>
      <w:r>
        <w:rPr>
          <w:rFonts w:ascii="Times New Roman" w:cs="Times New Roman" w:eastAsia="Times New Roman" w:hAnsi="Times New Roman"/>
          <w:sz w:val="20"/>
          <w:szCs w:val="20"/>
          <w:color w:val="454546"/>
        </w:rPr>
        <w:t>(Principal Accounting and Financial Officer)</w:t>
      </w:r>
    </w:p>
    <w:p>
      <w:pPr>
        <w:sectPr>
          <w:pgSz w:w="11880" w:h="15480" w:orient="portrait"/>
          <w:cols w:equalWidth="0" w:num="1">
            <w:col w:w="10240"/>
          </w:cols>
          <w:pgMar w:left="820" w:top="50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54546"/>
        </w:rPr>
        <w:t>106</w:t>
      </w:r>
    </w:p>
    <w:p>
      <w:pPr>
        <w:sectPr>
          <w:pgSz w:w="11880" w:h="15480" w:orient="portrait"/>
          <w:cols w:equalWidth="0" w:num="1">
            <w:col w:w="10240"/>
          </w:cols>
          <w:pgMar w:left="820" w:top="500" w:right="820" w:bottom="0" w:gutter="0" w:footer="0" w:header="0"/>
          <w:type w:val="continuous"/>
        </w:sectPr>
      </w:pPr>
    </w:p>
    <w:bookmarkStart w:id="108" w:name="page109"/>
    <w:bookmarkEnd w:id="108"/>
    <w:p>
      <w:pPr>
        <w:jc w:val="center"/>
        <w:ind w:right="-79"/>
        <w:spacing w:after="0"/>
        <w:rPr>
          <w:sz w:val="20"/>
          <w:szCs w:val="20"/>
          <w:color w:val="auto"/>
        </w:rPr>
      </w:pPr>
      <w:r>
        <w:rPr>
          <w:rFonts w:ascii="Times New Roman" w:cs="Times New Roman" w:eastAsia="Times New Roman" w:hAnsi="Times New Roman"/>
          <w:sz w:val="20"/>
          <w:szCs w:val="20"/>
          <w:b w:val="1"/>
          <w:bCs w:val="1"/>
          <w:color w:val="454546"/>
        </w:rPr>
        <w:t>SIGNATURES AND POWER OF ATTORNEY</w:t>
      </w:r>
    </w:p>
    <w:p>
      <w:pPr>
        <w:spacing w:after="0" w:line="254"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20"/>
          <w:szCs w:val="20"/>
          <w:color w:val="454546"/>
        </w:rPr>
        <w:t>Each person whose individual signature appears below hereby authorizes and appoints Adrian Gottschalk and Ryan Maynard,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5" w:lineRule="exact"/>
        <w:rPr>
          <w:sz w:val="20"/>
          <w:szCs w:val="20"/>
          <w:color w:val="auto"/>
        </w:rPr>
      </w:pPr>
    </w:p>
    <w:p>
      <w:pPr>
        <w:ind w:right="60" w:firstLine="494"/>
        <w:spacing w:after="0" w:line="290" w:lineRule="auto"/>
        <w:rPr>
          <w:sz w:val="20"/>
          <w:szCs w:val="20"/>
          <w:color w:val="auto"/>
        </w:rPr>
      </w:pPr>
      <w:r>
        <w:rPr>
          <w:rFonts w:ascii="Times New Roman" w:cs="Times New Roman" w:eastAsia="Times New Roman" w:hAnsi="Times New Roman"/>
          <w:sz w:val="20"/>
          <w:szCs w:val="20"/>
          <w:color w:val="454546"/>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p>
      <w:pPr>
        <w:ind w:left="1760"/>
        <w:spacing w:after="0"/>
        <w:tabs>
          <w:tab w:leader="none" w:pos="6320" w:val="left"/>
          <w:tab w:leader="none" w:pos="9280" w:val="left"/>
        </w:tabs>
        <w:rPr>
          <w:sz w:val="20"/>
          <w:szCs w:val="20"/>
          <w:color w:val="auto"/>
        </w:rPr>
      </w:pPr>
      <w:r>
        <w:rPr>
          <w:rFonts w:ascii="Times New Roman" w:cs="Times New Roman" w:eastAsia="Times New Roman" w:hAnsi="Times New Roman"/>
          <w:sz w:val="16"/>
          <w:szCs w:val="16"/>
          <w:b w:val="1"/>
          <w:bCs w:val="1"/>
          <w:color w:val="454546"/>
        </w:rPr>
        <w:t>Signature</w:t>
      </w:r>
      <w:r>
        <w:rPr>
          <w:sz w:val="20"/>
          <w:szCs w:val="20"/>
          <w:color w:val="auto"/>
        </w:rPr>
        <w:tab/>
      </w:r>
      <w:r>
        <w:rPr>
          <w:rFonts w:ascii="Times New Roman" w:cs="Times New Roman" w:eastAsia="Times New Roman" w:hAnsi="Times New Roman"/>
          <w:sz w:val="16"/>
          <w:szCs w:val="16"/>
          <w:b w:val="1"/>
          <w:bCs w:val="1"/>
          <w:color w:val="454546"/>
        </w:rPr>
        <w:t>Title</w:t>
      </w:r>
      <w:r>
        <w:rPr>
          <w:sz w:val="20"/>
          <w:szCs w:val="20"/>
          <w:color w:val="auto"/>
        </w:rPr>
        <w:tab/>
      </w:r>
      <w:r>
        <w:rPr>
          <w:rFonts w:ascii="Times New Roman" w:cs="Times New Roman" w:eastAsia="Times New Roman" w:hAnsi="Times New Roman"/>
          <w:sz w:val="16"/>
          <w:szCs w:val="16"/>
          <w:b w:val="1"/>
          <w:bCs w:val="1"/>
          <w:color w:val="454546"/>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1120140</wp:posOffset>
                </wp:positionH>
                <wp:positionV relativeFrom="paragraph">
                  <wp:posOffset>5715</wp:posOffset>
                </wp:positionV>
                <wp:extent cx="4222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2275" cy="4763"/>
                        </a:xfrm>
                        <a:prstGeom prst="line">
                          <a:avLst/>
                        </a:prstGeom>
                        <a:solidFill>
                          <a:srgbClr val="FFFFFF"/>
                        </a:solidFill>
                        <a:ln w="9144">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pt,0.45pt" to="121.45pt,0.45pt" o:allowincell="f" strokecolor="#231F20" strokeweight="0.72pt"/>
            </w:pict>
          </mc:Fallback>
        </mc:AlternateContent>
        <mc:AlternateContent>
          <mc:Choice Requires="wps">
            <w:drawing>
              <wp:anchor simplePos="0" relativeHeight="251657728" behindDoc="1" locked="0" layoutInCell="0" allowOverlap="1">
                <wp:simplePos x="0" y="0"/>
                <wp:positionH relativeFrom="column">
                  <wp:posOffset>4030980</wp:posOffset>
                </wp:positionH>
                <wp:positionV relativeFrom="paragraph">
                  <wp:posOffset>5715</wp:posOffset>
                </wp:positionV>
                <wp:extent cx="20129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295" cy="4763"/>
                        </a:xfrm>
                        <a:prstGeom prst="line">
                          <a:avLst/>
                        </a:prstGeom>
                        <a:solidFill>
                          <a:srgbClr val="FFFFFF"/>
                        </a:solidFill>
                        <a:ln w="9144">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4pt,0.45pt" to="333.25pt,0.45pt" o:allowincell="f" strokecolor="#231F20" strokeweight="0.72pt"/>
            </w:pict>
          </mc:Fallback>
        </mc:AlternateContent>
        <mc:AlternateContent>
          <mc:Choice Requires="wps">
            <w:drawing>
              <wp:anchor simplePos="0" relativeHeight="251657728" behindDoc="1" locked="0" layoutInCell="0" allowOverlap="1">
                <wp:simplePos x="0" y="0"/>
                <wp:positionH relativeFrom="column">
                  <wp:posOffset>5904230</wp:posOffset>
                </wp:positionH>
                <wp:positionV relativeFrom="paragraph">
                  <wp:posOffset>5715</wp:posOffset>
                </wp:positionV>
                <wp:extent cx="2025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65" cy="4763"/>
                        </a:xfrm>
                        <a:prstGeom prst="line">
                          <a:avLst/>
                        </a:prstGeom>
                        <a:solidFill>
                          <a:srgbClr val="FFFFFF"/>
                        </a:solidFill>
                        <a:ln w="9144">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9pt,0.45pt" to="480.85pt,0.45pt" o:allowincell="f" strokecolor="#231F20" strokeweight="0.72pt"/>
            </w:pict>
          </mc:Fallback>
        </mc:AlternateContent>
      </w:r>
    </w:p>
    <w:p>
      <w:pPr>
        <w:sectPr>
          <w:pgSz w:w="11880" w:h="15480" w:orient="portrait"/>
          <w:cols w:equalWidth="0" w:num="1">
            <w:col w:w="10160"/>
          </w:cols>
          <w:pgMar w:left="820" w:top="500" w:right="900" w:bottom="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Adrian Gottschalk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Adrian Gottschalk</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Ryan Maynard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Ryan Maynard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Scott Biller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Scott Biller,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417195</wp:posOffset>
                </wp:positionV>
                <wp:extent cx="27412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32.85pt" to="212.8pt,32.85pt" o:allowincell="f" strokecolor="#231F20" strokeweight="0.95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Douglas Cole, M.D.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Stuart Duty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Stuart Duty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Neil Gallagher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54546"/>
        </w:rPr>
        <w:t>Neil Gallagher, M.D., Ph.D.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Simba Gill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Simba Gill, Ph.D.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Thomas Lynch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Thomas Lynch Jr., M.D.</w:t>
      </w:r>
    </w:p>
    <w:p>
      <w:pPr>
        <w:spacing w:after="0" w:line="368" w:lineRule="exact"/>
        <w:rPr>
          <w:sz w:val="20"/>
          <w:szCs w:val="20"/>
          <w:color w:val="auto"/>
        </w:rPr>
      </w:pPr>
    </w:p>
    <w:p>
      <w:pPr>
        <w:ind w:right="1460"/>
        <w:spacing w:after="0" w:line="352" w:lineRule="auto"/>
        <w:rPr>
          <w:sz w:val="20"/>
          <w:szCs w:val="20"/>
          <w:color w:val="auto"/>
        </w:rPr>
      </w:pPr>
      <w:r>
        <w:rPr>
          <w:rFonts w:ascii="Times New Roman" w:cs="Times New Roman" w:eastAsia="Times New Roman" w:hAnsi="Times New Roman"/>
          <w:sz w:val="20"/>
          <w:szCs w:val="20"/>
          <w:color w:val="454546"/>
        </w:rPr>
        <w:t>/s/ Michael Mendelsohn Michael Mendelsohn,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-244475</wp:posOffset>
                </wp:positionV>
                <wp:extent cx="27412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8">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19.2499pt" to="212.8pt,-19.2499pt" o:allowincell="f" strokecolor="#231F20" strokeweight="0.9589pt"/>
            </w:pict>
          </mc:Fallback>
        </mc:AlternateConten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B. Lynne Parshall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9">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B. Lynne Parshall, Esq.</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/s/ Ian Smith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-38735</wp:posOffset>
                </wp:positionH>
                <wp:positionV relativeFrom="paragraph">
                  <wp:posOffset>37465</wp:posOffset>
                </wp:positionV>
                <wp:extent cx="27412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12178">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9pt,2.95pt" to="212.8pt,2.95pt" o:allowincell="f" strokecolor="#231F20" strokeweight="0.9589pt"/>
            </w:pict>
          </mc:Fallback>
        </mc:AlternateConten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54546"/>
        </w:rPr>
        <w:t>Ian Smith</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President, Chief Executive Officer and 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265"/>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(Principal Executive Officer)</w:t>
            </w:r>
          </w:p>
        </w:tc>
        <w:tc>
          <w:tcPr>
            <w:tcW w:w="1580" w:type="dxa"/>
            <w:vAlign w:val="bottom"/>
          </w:tcPr>
          <w:p>
            <w:pPr>
              <w:spacing w:after="0"/>
              <w:rPr>
                <w:sz w:val="23"/>
                <w:szCs w:val="23"/>
                <w:color w:val="auto"/>
              </w:rPr>
            </w:pPr>
          </w:p>
        </w:tc>
      </w:tr>
      <w:tr>
        <w:trPr>
          <w:trHeight w:val="635"/>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Chief Financial Officer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265"/>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(Principal Accounting and Financial Officer)</w:t>
            </w:r>
          </w:p>
        </w:tc>
        <w:tc>
          <w:tcPr>
            <w:tcW w:w="1580" w:type="dxa"/>
            <w:vAlign w:val="bottom"/>
          </w:tcPr>
          <w:p>
            <w:pPr>
              <w:spacing w:after="0"/>
              <w:rPr>
                <w:sz w:val="23"/>
                <w:szCs w:val="23"/>
                <w:color w:val="auto"/>
              </w:rPr>
            </w:pPr>
          </w:p>
        </w:tc>
      </w:tr>
      <w:tr>
        <w:trPr>
          <w:trHeight w:val="695"/>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00"/>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r>
        <w:trPr>
          <w:trHeight w:val="917"/>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454546"/>
              </w:rPr>
              <w:t>Director</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454546"/>
                <w:w w:val="99"/>
              </w:rPr>
              <w:t>March 11, 2026</w:t>
            </w:r>
          </w:p>
        </w:tc>
      </w:tr>
    </w:tbl>
    <w:p>
      <w:pPr>
        <w:spacing w:after="0" w:line="466" w:lineRule="exact"/>
        <w:rPr>
          <w:sz w:val="20"/>
          <w:szCs w:val="20"/>
          <w:color w:val="auto"/>
        </w:rPr>
      </w:pPr>
    </w:p>
    <w:p>
      <w:pPr>
        <w:sectPr>
          <w:pgSz w:w="11880" w:h="15480" w:orient="portrait"/>
          <w:cols w:equalWidth="0" w:num="2">
            <w:col w:w="3680" w:space="720"/>
            <w:col w:w="5760"/>
          </w:cols>
          <w:pgMar w:left="820" w:top="50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454546"/>
        </w:rPr>
        <w:t>107</w:t>
      </w:r>
    </w:p>
    <w:p>
      <w:pPr>
        <w:sectPr>
          <w:pgSz w:w="11880" w:h="15480" w:orient="portrait"/>
          <w:cols w:equalWidth="0" w:num="1">
            <w:col w:w="10160"/>
          </w:cols>
          <w:pgMar w:left="820" w:top="500" w:right="900"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10" w:name="page111"/>
    <w:bookmarkEnd w:id="11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2419350</wp:posOffset>
            </wp:positionH>
            <wp:positionV relativeFrom="page">
              <wp:posOffset>3397885</wp:posOffset>
            </wp:positionV>
            <wp:extent cx="2705100" cy="679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05100"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4"/>
          <w:szCs w:val="24"/>
          <w:color w:val="231F20"/>
        </w:rPr>
        <w:t>Foghorn Therapeutics Inc.</w:t>
      </w: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23"/>
          <w:szCs w:val="23"/>
          <w:color w:val="231F20"/>
        </w:rPr>
        <w:t>99 Coolidge Avenue, Suite 500</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4"/>
          <w:szCs w:val="24"/>
          <w:color w:val="231F20"/>
        </w:rPr>
        <w:t>Watertown, MA 02472</w:t>
      </w:r>
    </w:p>
    <w:p>
      <w:pPr>
        <w:sectPr>
          <w:pgSz w:w="11880" w:h="15480" w:orient="portrait"/>
          <w:cols w:equalWidth="0" w:num="1">
            <w:col w:w="9000"/>
          </w:cols>
          <w:pgMar w:left="1440" w:top="1440"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Calibri" w:cs="Calibri" w:eastAsia="Calibri" w:hAnsi="Calibri"/>
          <w:sz w:val="20"/>
          <w:szCs w:val="20"/>
          <w:color w:val="2865B0"/>
        </w:rPr>
        <w:t>www.foghorntx.com</w:t>
      </w:r>
    </w:p>
    <w:sectPr>
      <w:pgSz w:w="11880" w:h="15480" w:orient="portrait"/>
      <w:cols w:equalWidth="0" w:num="1">
        <w:col w:w="900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Roman"/>
      <w:start w:val="2"/>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97"/>
    </w:lvl>
  </w:abstractNum>
  <w:abstractNum w:abstractNumId="43">
    <w:nsid w:val="7A6D8D3C"/>
    <w:multiLevelType w:val="hybridMultilevel"/>
    <w:lvl w:ilvl="0">
      <w:lvlJc w:val="left"/>
      <w:lvlText w:val="*"/>
      <w:numFmt w:val="bullet"/>
      <w:start w:val="1"/>
    </w:lvl>
    <w:lvl w:ilvl="1">
      <w:lvlJc w:val="left"/>
      <w:lvlText w:val="(%2)"/>
      <w:numFmt w:val="lowerRoman"/>
      <w:start w:val="4"/>
    </w:lvl>
  </w:abstractNum>
  <w:abstractNum w:abstractNumId="44">
    <w:nsid w:val="4B588F54"/>
    <w:multiLevelType w:val="hybridMultilevel"/>
    <w:lvl w:ilvl="0">
      <w:lvlJc w:val="left"/>
      <w:lvlText w:val="**"/>
      <w:numFmt w:val="bullet"/>
      <w:start w:val="1"/>
    </w:lvl>
    <w:lvl w:ilvl="1">
      <w:lvlJc w:val="left"/>
      <w:lvlText w:val="%2"/>
      <w:numFmt w:val="lowerRoman"/>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2026-04-30T06:12:11Z</dcterms:created>
  <dcterms:modified xsi:type="dcterms:W3CDTF">2026-04-30T06:12:11Z</dcterms:modified>
</cp:coreProperties>
</file>