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7422fhtx_10052026.xml.htm"/>
      <w:bookmarkStart w:id="1" w:name="ksform307422fhtx_10052026"/>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BVF PARTNERS L P/IL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 MONTGOMERY ST.</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Foghorn Therapeutics Inc.</w:t>
              </w:r>
            </w:hyperlink>
            <w:r>
              <w:rPr/>
              <w:t xml:space="preserve"> [ </w:t>
            </w:r>
            <w:r>
              <w:rPr>
                <w:rFonts w:ascii="Times;serif" w:hAnsi="Times;serif"/>
                <w:color w:val="0000FF"/>
                <w:sz w:val="24"/>
                <w:shd w:fill="FFFFFF" w:val="clear"/>
              </w:rPr>
              <w:t>FHTX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 $0.0001 par value per share</w:t>
            </w:r>
            <w:r>
              <w:rPr>
                <w:rFonts w:ascii="Times;serif" w:hAnsi="Times;serif"/>
                <w:color w:val="008000"/>
                <w:position w:val="7"/>
                <w:sz w:val="16"/>
                <w:sz w:val="20"/>
                <w:shd w:fill="FFFFFF" w:val="clear"/>
              </w:rPr>
              <w:t>(1)</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4,494,462</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 $0.0001 par value per share</w:t>
            </w:r>
            <w:r>
              <w:rPr>
                <w:rFonts w:ascii="Times;serif" w:hAnsi="Times;serif"/>
                <w:color w:val="008000"/>
                <w:position w:val="7"/>
                <w:sz w:val="16"/>
                <w:sz w:val="20"/>
                <w:shd w:fill="FFFFFF" w:val="clear"/>
              </w:rPr>
              <w:t>(1)</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3,232,448</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 $0.0001 par value per share</w:t>
            </w:r>
            <w:r>
              <w:rPr>
                <w:rFonts w:ascii="Times;serif" w:hAnsi="Times;serif"/>
                <w:color w:val="008000"/>
                <w:position w:val="7"/>
                <w:sz w:val="16"/>
                <w:sz w:val="20"/>
                <w:shd w:fill="FFFFFF" w:val="clear"/>
              </w:rPr>
              <w:t>(1)</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619,258</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(4)</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5"/>
        <w:gridCol w:w="1221"/>
        <w:gridCol w:w="1120"/>
        <w:gridCol w:w="1258"/>
        <w:gridCol w:w="1134"/>
        <w:gridCol w:w="1248"/>
        <w:gridCol w:w="1205"/>
        <w:gridCol w:w="132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5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3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Pre-Funded Warrants to Purchase Common Stock</w:t>
            </w:r>
            <w:r>
              <w:rPr>
                <w:rFonts w:ascii="Times;serif" w:hAnsi="Times;serif"/>
                <w:color w:val="008000"/>
                <w:position w:val="7"/>
                <w:sz w:val="16"/>
                <w:sz w:val="20"/>
                <w:shd w:fill="FFFFFF" w:val="clear"/>
              </w:rPr>
              <w:t>(1)</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 $0.0001 par value</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3,132,723</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13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Pre-Funded Warrants to Purchase Common Stock</w:t>
            </w:r>
            <w:r>
              <w:rPr>
                <w:rFonts w:ascii="Times;serif" w:hAnsi="Times;serif"/>
                <w:color w:val="008000"/>
                <w:position w:val="7"/>
                <w:sz w:val="16"/>
                <w:sz w:val="20"/>
                <w:shd w:fill="FFFFFF" w:val="clear"/>
              </w:rPr>
              <w:t>(1)</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 $0.0001 par value</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2,394,331</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13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Pre-Funded Warrants to Purchase Common Stock</w:t>
            </w:r>
            <w:r>
              <w:rPr>
                <w:rFonts w:ascii="Times;serif" w:hAnsi="Times;serif"/>
                <w:color w:val="008000"/>
                <w:position w:val="7"/>
                <w:sz w:val="16"/>
                <w:sz w:val="20"/>
                <w:shd w:fill="FFFFFF" w:val="clear"/>
              </w:rPr>
              <w:t>(1)</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 $0.0001 par value</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313,925</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(4)</w:t>
            </w:r>
          </w:p>
        </w:tc>
        <w:tc>
          <w:tcPr>
            <w:tcW w:w="13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Series 1 Warrants to Purchase Common Stock</w:t>
            </w:r>
            <w:r>
              <w:rPr>
                <w:rFonts w:ascii="Times;serif" w:hAnsi="Times;serif"/>
                <w:color w:val="008000"/>
                <w:position w:val="7"/>
                <w:sz w:val="16"/>
                <w:sz w:val="20"/>
                <w:shd w:fill="FFFFFF" w:val="clear"/>
              </w:rPr>
              <w:t>(1)</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 $0.0001 par value</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1,022,635</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13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Series 1 Warrants to Purchase Common Stock</w:t>
            </w:r>
            <w:r>
              <w:rPr>
                <w:rFonts w:ascii="Times;serif" w:hAnsi="Times;serif"/>
                <w:color w:val="008000"/>
                <w:position w:val="7"/>
                <w:sz w:val="16"/>
                <w:sz w:val="20"/>
                <w:shd w:fill="FFFFFF" w:val="clear"/>
              </w:rPr>
              <w:t>(1)</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 $0.0001 par value</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703,630</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13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Series 1 Warrants to Purchase Common Stock</w:t>
            </w:r>
            <w:r>
              <w:rPr>
                <w:rFonts w:ascii="Times;serif" w:hAnsi="Times;serif"/>
                <w:color w:val="008000"/>
                <w:position w:val="7"/>
                <w:sz w:val="16"/>
                <w:sz w:val="20"/>
                <w:shd w:fill="FFFFFF" w:val="clear"/>
              </w:rPr>
              <w:t>(1)</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 $0.0001 par value</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109,394</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(4)</w:t>
            </w:r>
          </w:p>
        </w:tc>
        <w:tc>
          <w:tcPr>
            <w:tcW w:w="13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Series 2 Warrants to Purchase Common Stock</w:t>
            </w:r>
            <w:r>
              <w:rPr>
                <w:rFonts w:ascii="Times;serif" w:hAnsi="Times;serif"/>
                <w:color w:val="008000"/>
                <w:position w:val="7"/>
                <w:sz w:val="16"/>
                <w:sz w:val="20"/>
                <w:shd w:fill="FFFFFF" w:val="clear"/>
              </w:rPr>
              <w:t>(1)</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2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 $0.0001 par value</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1,022,635</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2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13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Series 2 Warrants to Purchase Common Stock</w:t>
            </w:r>
            <w:r>
              <w:rPr>
                <w:rFonts w:ascii="Times;serif" w:hAnsi="Times;serif"/>
                <w:color w:val="008000"/>
                <w:position w:val="7"/>
                <w:sz w:val="16"/>
                <w:sz w:val="20"/>
                <w:shd w:fill="FFFFFF" w:val="clear"/>
              </w:rPr>
              <w:t>(1)</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2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 $0.0001 par value</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703,630</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2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13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Series 2 Warrants to Purchase Common Stock</w:t>
            </w:r>
            <w:r>
              <w:rPr>
                <w:rFonts w:ascii="Times;serif" w:hAnsi="Times;serif"/>
                <w:color w:val="008000"/>
                <w:position w:val="7"/>
                <w:sz w:val="16"/>
                <w:sz w:val="20"/>
                <w:shd w:fill="FFFFFF" w:val="clear"/>
              </w:rPr>
              <w:t>(1)</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1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2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 $0.0001 par value</w:t>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109,394</w:t>
            </w:r>
          </w:p>
        </w:tc>
        <w:tc>
          <w:tcPr>
            <w:tcW w:w="12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2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(4)</w:t>
            </w:r>
          </w:p>
        </w:tc>
        <w:tc>
          <w:tcPr>
            <w:tcW w:w="13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BVF PARTNERS L P/IL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 MONTGOMERY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BIOTECHNOLOGY VALUE FUND L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 MONTGOMERY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BVF I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 MONTGOMERY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BIOTECHNOLOGY VALUE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 MONTGOMERY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BVF II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 MONTGOMERY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Biotechnology Value Trading Fund OS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309 UGLAND HOUSE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BVF Partners OS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309 UGLAND HOUSE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BVF GP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 MONTGOMERY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BVF INC/IL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 MONTGOMERY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LAMPERT MARK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 MONTGOMERY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3 is filed jointly by Biotechnology Value Fund, L.P. ("BVF"), Biotechnology Value Fund II, L.P. ("BVF2"), Biotechnology Value Trading Fund OS LP ("Trading Fund OS"), BVF Partners OS Ltd. ("Partners OS"), BVF I GP LLC ("BVF GP"), BVF II GP LLC ("BVF2 GP"), BVF GP Holdings LLC ("BVF GPH"), BVF Partners L.P. ("Partners"), BVF Inc. and Mark N. Lampert (collectively, the "Reporting Persons"). Each of the Reporting Persons is a member of a Section 13(d) group that collectively beneficially owns more than 10% of the Issuer's outstanding shares of Common Stock. Each of the Reporting Persons disclaims beneficial ownership of the securities reported herein except to the extent of his or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Securities owned directly by BVF. As the general partner of BVF, BVF GP may be deemed to beneficially own the securities owned directly by BVF. As the sole member of BVF GP, BVF GPH may be deemed to beneficially own the securities owned directly by BVF. As the investment manager of BVF, Partners may be deemed to beneficially own the securities owned directly by BVF. As the general parter of Partners, BVF Inc. may be deemed to beneficially own the securities owned directly by BVF. As a director and officer of BVF Inc., Mr. Lampert may be deemed to beneficially own the securities owned directly by BVF.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Securities owned directly by BVF2. As the general partner of BVF2, BVF2 GP may be deemed to beneficially own the securities owned directly by BVF2. As the sole member of BVF2 GP, BVF GPH may be deemed to beneficially own the securities owned directly by BVF2. As the investment manager of BVF2, Partners may be deemed to beneficially own the securities owned directly by BVF2. As the general partner of Partners, BVF Inc. may be deemed to beneficially own the securities owned directly by BVF2. As a director and officer of BVF Inc., Mr. Lampert may be deemed to beneficially own the securities owned directly by BVF2.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Securities owned directly by Trading Fund OS. As the general partner of Trading Fund OS, Partners OS may be deemed to beneficially own the securities owned directly by Trading Fund OS. As the investment manager of Trading Fund OS and the sole member of Partners OS, Partners may be deemed to beneficially own the securities owned directly by Trading Fund OS. As the general partner of Partners, BVF Inc. may be deemed to beneficially own the securities owned directly by Trading Fund OS. As a director and officer of BVF Inc., Mr. Lampert may be deemed to beneficially own the securities owned directly by Trading Fund OS.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Reporting Persons hold certain Pre-Funded Warrants (the "Pre-Funded Warrants") exercisable for an aggregate of 5,840,979 shares of Common Stock. The Pre-Funded Warrants do not expire and have an exercise price of $0.0001 per share. The Pre-Funded Warrants are exercisable immediately, except that the Pre-Funded Warrants may not be exercised if, after such exercise, the Reporting Persons would beneficially own more than 9.99% of the shares of Common Stock outstanding.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Reporting Persons hold certain Series 1 Warrants (the "Series 1 Warrants") exercisable for an aggregate of 1,835,659 shares of Common Stock. The Series 1 Warrants expire on June 30, 2027 and have an exercise price of $13.4200 per share. The Series 1 Warrants are exercisable immediately, except that the Series 1 Warrants may not be exercised if, after such exercise, the Reporting Persons would beneficially own more than 9.99% of the shares of Common Stock outstanding.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Reporting Persons hold certain Series 2 Warrants (the "Series 2 Warrants") exercisable for an aggregate of 1,835,659 shares of Common Stock. The Series 2 Warrants expire on December 31, 2030 and have an exercise price of $20.1300 per share. The Series 2 Warrants are exercisable immediately, except that the Series 2 Warrants may not be exercised if, after such exercise, the Reporting Persons would beneficially own more than 9.99% of the shares of Common Stock outstanding.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BVF Partners L.P., By: BVF Inc., its general partner, By: /s/ Mark N. Lampert,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Biotechnology Value Fund, L.P., By: BVF I GP LLC, its general partner, By: /s/ Mark N. Lampert,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BVF I GP LLC, By: /s/ Mark N. Lampert,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Biotechnology Value Fund II, L.P., By: BVF II GP LLC, its general partner, By: /s/ Mark N. Lampert,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BVF II GP LLC, By: /s/ Mark N. Lampert,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BVF Partners OS Ltd., By: BVF Partners L.P., its sole member, By: BVF Inc., its general partner, By: /s/ Mark N. Lampert,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Biotechnology Value Trading Fund OS LP, By: BVF Partners L.P., its investment manager, BVF Inc., its general partner, By: /s/ Mark N. Lampert,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BVF GP Holdings LLC, By: /s/ Mark N. Lampert,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BVF Inc., By: /s/ Mark N. Lampert,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N. Lampert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055947" TargetMode="External"/><Relationship Id="rId3" Type="http://schemas.openxmlformats.org/officeDocument/2006/relationships/hyperlink" Target="http://www.sec.gov/cgi-bin/browse-edgar?action=getcompany&amp;CIK=000182246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1055947" TargetMode="External"/><Relationship Id="rId7" Type="http://schemas.openxmlformats.org/officeDocument/2006/relationships/hyperlink" Target="http://www.sec.gov/cgi-bin/browse-edgar?action=getcompany&amp;CIK=0000918923" TargetMode="External"/><Relationship Id="rId8" Type="http://schemas.openxmlformats.org/officeDocument/2006/relationships/hyperlink" Target="http://www.sec.gov/cgi-bin/browse-edgar?action=getcompany&amp;CIK=0001803805" TargetMode="External"/><Relationship Id="rId9" Type="http://schemas.openxmlformats.org/officeDocument/2006/relationships/hyperlink" Target="http://www.sec.gov/cgi-bin/browse-edgar?action=getcompany&amp;CIK=0001102444" TargetMode="External"/><Relationship Id="rId10" Type="http://schemas.openxmlformats.org/officeDocument/2006/relationships/hyperlink" Target="http://www.sec.gov/cgi-bin/browse-edgar?action=getcompany&amp;CIK=0001803806" TargetMode="External"/><Relationship Id="rId11" Type="http://schemas.openxmlformats.org/officeDocument/2006/relationships/hyperlink" Target="http://www.sec.gov/cgi-bin/browse-edgar?action=getcompany&amp;CIK=0001660683" TargetMode="External"/><Relationship Id="rId12" Type="http://schemas.openxmlformats.org/officeDocument/2006/relationships/hyperlink" Target="http://www.sec.gov/cgi-bin/browse-edgar?action=getcompany&amp;CIK=0001660684" TargetMode="External"/><Relationship Id="rId13" Type="http://schemas.openxmlformats.org/officeDocument/2006/relationships/hyperlink" Target="http://www.sec.gov/cgi-bin/browse-edgar?action=getcompany&amp;CIK=0001803809" TargetMode="External"/><Relationship Id="rId14" Type="http://schemas.openxmlformats.org/officeDocument/2006/relationships/hyperlink" Target="http://www.sec.gov/cgi-bin/browse-edgar?action=getcompany&amp;CIK=0001056807" TargetMode="External"/><Relationship Id="rId15" Type="http://schemas.openxmlformats.org/officeDocument/2006/relationships/hyperlink" Target="http://www.sec.gov/cgi-bin/browse-edgar?action=getcompany&amp;CIK=0001233840"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1662</Words>
  <Characters>8686</Characters>
  <CharactersWithSpaces>10070</CharactersWithSpaces>
  <Paragraphs>300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